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B7F5" w14:textId="461EA9B9" w:rsidR="008A253B" w:rsidRPr="0016660A" w:rsidRDefault="008A253B" w:rsidP="00E1126A">
      <w:pPr>
        <w:rPr>
          <w:rFonts w:ascii="Roboto" w:hAnsi="Roboto"/>
          <w:b/>
          <w:sz w:val="22"/>
          <w:szCs w:val="22"/>
        </w:rPr>
      </w:pPr>
      <w:r w:rsidRPr="0016660A">
        <w:rPr>
          <w:rFonts w:ascii="Roboto" w:hAnsi="Roboto"/>
          <w:b/>
          <w:sz w:val="22"/>
          <w:szCs w:val="22"/>
        </w:rPr>
        <w:t>Themes in Contemporary Art</w:t>
      </w:r>
      <w:r w:rsidR="001750A1">
        <w:rPr>
          <w:rFonts w:ascii="Roboto" w:hAnsi="Roboto"/>
          <w:b/>
          <w:sz w:val="22"/>
          <w:szCs w:val="22"/>
        </w:rPr>
        <w:t xml:space="preserve"> | </w:t>
      </w:r>
      <w:r w:rsidRPr="0016660A">
        <w:rPr>
          <w:rFonts w:ascii="Roboto" w:hAnsi="Roboto"/>
          <w:b/>
          <w:sz w:val="22"/>
          <w:szCs w:val="22"/>
        </w:rPr>
        <w:t>From the in</w:t>
      </w:r>
      <w:r w:rsidR="001750A1">
        <w:rPr>
          <w:rFonts w:ascii="Roboto" w:hAnsi="Roboto"/>
          <w:b/>
          <w:sz w:val="22"/>
          <w:szCs w:val="22"/>
        </w:rPr>
        <w:t xml:space="preserve">dividual to the collective: </w:t>
      </w:r>
      <w:r w:rsidRPr="0016660A">
        <w:rPr>
          <w:rFonts w:ascii="Roboto" w:hAnsi="Roboto"/>
          <w:b/>
          <w:sz w:val="22"/>
          <w:szCs w:val="22"/>
        </w:rPr>
        <w:t>social turn in art of the 90s and beyond</w:t>
      </w:r>
    </w:p>
    <w:p w14:paraId="7172A544" w14:textId="4F7E36EA" w:rsidR="008A253B" w:rsidRPr="0016660A" w:rsidRDefault="008A253B" w:rsidP="00E1126A">
      <w:pPr>
        <w:rPr>
          <w:rFonts w:ascii="Roboto" w:hAnsi="Roboto"/>
          <w:i/>
          <w:sz w:val="22"/>
          <w:szCs w:val="22"/>
        </w:rPr>
      </w:pPr>
      <w:r w:rsidRPr="0016660A">
        <w:rPr>
          <w:rFonts w:ascii="Roboto" w:hAnsi="Roboto"/>
          <w:i/>
          <w:sz w:val="22"/>
          <w:szCs w:val="22"/>
        </w:rPr>
        <w:t>Paula Burleigh</w:t>
      </w:r>
      <w:r w:rsidR="0016660A" w:rsidRPr="0016660A">
        <w:rPr>
          <w:rFonts w:ascii="Roboto" w:hAnsi="Roboto"/>
          <w:i/>
          <w:sz w:val="22"/>
          <w:szCs w:val="22"/>
        </w:rPr>
        <w:t>, Art Seminar Group, November 8, 2016</w:t>
      </w:r>
    </w:p>
    <w:p w14:paraId="06CC16F0" w14:textId="77777777" w:rsidR="0092442E" w:rsidRPr="0016660A" w:rsidRDefault="0092442E" w:rsidP="00E1126A">
      <w:pPr>
        <w:rPr>
          <w:rFonts w:ascii="Roboto" w:hAnsi="Roboto"/>
          <w:sz w:val="22"/>
          <w:szCs w:val="22"/>
        </w:rPr>
      </w:pPr>
    </w:p>
    <w:p w14:paraId="4CF9CA13" w14:textId="425E81A4" w:rsidR="00EF0AB8" w:rsidRPr="001750A1" w:rsidRDefault="00E1126A"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Jeremy Deller, </w:t>
      </w:r>
      <w:r w:rsidRPr="001750A1">
        <w:rPr>
          <w:rFonts w:ascii="Roboto" w:hAnsi="Roboto"/>
          <w:i/>
          <w:iCs/>
          <w:sz w:val="22"/>
          <w:szCs w:val="22"/>
        </w:rPr>
        <w:t xml:space="preserve">The Battle of Orgreave, </w:t>
      </w:r>
      <w:r w:rsidRPr="001750A1">
        <w:rPr>
          <w:rFonts w:ascii="Roboto" w:hAnsi="Roboto"/>
          <w:sz w:val="22"/>
          <w:szCs w:val="22"/>
        </w:rPr>
        <w:t xml:space="preserve">2001. Battle re-enactment in Orgreave, UK on June 18, 2001. Commissioned by Artangel. </w:t>
      </w:r>
    </w:p>
    <w:p w14:paraId="5761CDFA" w14:textId="780A8D9F" w:rsidR="00E1126A" w:rsidRPr="001750A1" w:rsidRDefault="00E1126A"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Jeremy Deller, </w:t>
      </w:r>
      <w:r w:rsidRPr="001750A1">
        <w:rPr>
          <w:rFonts w:ascii="Roboto" w:hAnsi="Roboto"/>
          <w:i/>
          <w:iCs/>
          <w:sz w:val="22"/>
          <w:szCs w:val="22"/>
        </w:rPr>
        <w:t>The Battle of Orgreave Archive (An Injury to One is an Injury to All)</w:t>
      </w:r>
      <w:r w:rsidRPr="001750A1">
        <w:rPr>
          <w:rFonts w:ascii="Roboto" w:hAnsi="Roboto"/>
          <w:sz w:val="22"/>
          <w:szCs w:val="22"/>
        </w:rPr>
        <w:t>, 2001. Wall painting, paint on fibreboard, vinyl text, map, books, jacket, shield, printed papers, 2 videos and audio. Installed at the Tate, commissioned and produced by Artangel. Film directed by Mike Figgis</w:t>
      </w:r>
    </w:p>
    <w:p w14:paraId="3659569D" w14:textId="001CD52F" w:rsidR="00E1126A" w:rsidRPr="001750A1" w:rsidRDefault="00E1126A"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Rirkrit Tiravaneja, </w:t>
      </w:r>
      <w:r w:rsidRPr="001750A1">
        <w:rPr>
          <w:rFonts w:ascii="Roboto" w:hAnsi="Roboto"/>
          <w:i/>
          <w:sz w:val="22"/>
          <w:szCs w:val="22"/>
        </w:rPr>
        <w:t>Free</w:t>
      </w:r>
      <w:r w:rsidRPr="001750A1">
        <w:rPr>
          <w:rFonts w:ascii="Roboto" w:hAnsi="Roboto"/>
          <w:sz w:val="22"/>
          <w:szCs w:val="22"/>
        </w:rPr>
        <w:t>, 1992. Project at 303 Gallery, New York</w:t>
      </w:r>
      <w:r w:rsidR="001750A1">
        <w:rPr>
          <w:rFonts w:ascii="Roboto" w:hAnsi="Roboto"/>
          <w:sz w:val="22"/>
          <w:szCs w:val="22"/>
        </w:rPr>
        <w:tab/>
      </w:r>
    </w:p>
    <w:p w14:paraId="24E0D03C" w14:textId="64002E24" w:rsidR="00E1126A" w:rsidRDefault="00E1126A" w:rsidP="001750A1">
      <w:pPr>
        <w:pStyle w:val="ListParagraph"/>
        <w:numPr>
          <w:ilvl w:val="1"/>
          <w:numId w:val="1"/>
        </w:numPr>
        <w:rPr>
          <w:rFonts w:ascii="Roboto" w:hAnsi="Roboto"/>
          <w:i/>
          <w:sz w:val="22"/>
          <w:szCs w:val="22"/>
        </w:rPr>
      </w:pPr>
      <w:r w:rsidRPr="001750A1">
        <w:rPr>
          <w:rFonts w:ascii="Roboto" w:hAnsi="Roboto"/>
          <w:i/>
          <w:sz w:val="22"/>
          <w:szCs w:val="22"/>
        </w:rPr>
        <w:t>‘The situation is not about looking at art. It is about being in the space, participating to an activity. The nature of the visit has shifted to emphasize on the gallery as a space for social interaction. The transfer of such activities as cooking, eating or sleeping into the realm of the exhibition space put visitors into very intimate if unexpected contact; the displacement creates an acute awareness of the notion of public and private, the installations function like scientific experiments</w:t>
      </w:r>
      <w:r w:rsidRPr="001750A1">
        <w:rPr>
          <w:rFonts w:ascii="Roboto" w:hAnsi="Roboto"/>
          <w:i/>
          <w:sz w:val="22"/>
          <w:szCs w:val="22"/>
          <w:lang w:val="is-IS"/>
        </w:rPr>
        <w:t>…</w:t>
      </w:r>
      <w:r w:rsidRPr="001750A1">
        <w:rPr>
          <w:rFonts w:ascii="Roboto" w:hAnsi="Roboto"/>
          <w:i/>
          <w:sz w:val="22"/>
          <w:szCs w:val="22"/>
        </w:rPr>
        <w:t xml:space="preserve"> The visitor becomes a participant in that experiment.’ – Rirkrit Tiravaneja </w:t>
      </w:r>
    </w:p>
    <w:p w14:paraId="46AEF1EF" w14:textId="77777777" w:rsidR="001750A1" w:rsidRPr="001750A1" w:rsidRDefault="001750A1" w:rsidP="001750A1">
      <w:pPr>
        <w:pStyle w:val="ListParagraph"/>
        <w:ind w:left="1440"/>
        <w:rPr>
          <w:rFonts w:ascii="Roboto" w:hAnsi="Roboto"/>
          <w:i/>
          <w:sz w:val="22"/>
          <w:szCs w:val="22"/>
        </w:rPr>
      </w:pPr>
    </w:p>
    <w:p w14:paraId="0A5271A5" w14:textId="77777777" w:rsidR="001750A1" w:rsidRDefault="00E1126A"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Carsten Höller, installation shot from “Carsten Holler: Experience,” exhibition at the New Museum in 2011</w:t>
      </w:r>
    </w:p>
    <w:p w14:paraId="32E3F13D" w14:textId="77777777" w:rsid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Santiago Sierra, </w:t>
      </w:r>
      <w:r w:rsidRPr="001750A1">
        <w:rPr>
          <w:rFonts w:ascii="Roboto" w:hAnsi="Roboto"/>
          <w:i/>
          <w:iCs/>
          <w:sz w:val="22"/>
          <w:szCs w:val="22"/>
        </w:rPr>
        <w:t xml:space="preserve">Workers who cannot be paid, remunerated to remain inside cardboard boxes, </w:t>
      </w:r>
      <w:r w:rsidRPr="001750A1">
        <w:rPr>
          <w:rFonts w:ascii="Roboto" w:hAnsi="Roboto"/>
          <w:sz w:val="22"/>
          <w:szCs w:val="22"/>
        </w:rPr>
        <w:t>2000</w:t>
      </w:r>
      <w:r w:rsidR="00D74840" w:rsidRPr="001750A1">
        <w:rPr>
          <w:rFonts w:ascii="Roboto" w:hAnsi="Roboto"/>
          <w:sz w:val="22"/>
          <w:szCs w:val="22"/>
        </w:rPr>
        <w:t xml:space="preserve">.  </w:t>
      </w:r>
      <w:r w:rsidRPr="001750A1">
        <w:rPr>
          <w:rFonts w:ascii="Roboto" w:hAnsi="Roboto"/>
          <w:sz w:val="22"/>
          <w:szCs w:val="22"/>
        </w:rPr>
        <w:t>Berlin, Germany</w:t>
      </w:r>
    </w:p>
    <w:p w14:paraId="5068AA4B" w14:textId="77777777" w:rsid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Tony Smith, </w:t>
      </w:r>
      <w:r w:rsidRPr="001750A1">
        <w:rPr>
          <w:rFonts w:ascii="Roboto" w:hAnsi="Roboto"/>
          <w:i/>
          <w:iCs/>
          <w:sz w:val="22"/>
          <w:szCs w:val="22"/>
        </w:rPr>
        <w:t xml:space="preserve">Die, </w:t>
      </w:r>
      <w:r w:rsidRPr="001750A1">
        <w:rPr>
          <w:rFonts w:ascii="Roboto" w:hAnsi="Roboto"/>
          <w:sz w:val="22"/>
          <w:szCs w:val="22"/>
        </w:rPr>
        <w:t>1962. Steel</w:t>
      </w:r>
    </w:p>
    <w:p w14:paraId="77952566" w14:textId="1A608541"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Robert Morris</w:t>
      </w:r>
      <w:r w:rsidR="00D74840" w:rsidRPr="001750A1">
        <w:rPr>
          <w:rFonts w:ascii="Roboto" w:hAnsi="Roboto"/>
          <w:sz w:val="22"/>
          <w:szCs w:val="22"/>
        </w:rPr>
        <w:t xml:space="preserve">, </w:t>
      </w:r>
      <w:r w:rsidRPr="001750A1">
        <w:rPr>
          <w:rFonts w:ascii="Roboto" w:hAnsi="Roboto"/>
          <w:i/>
          <w:iCs/>
          <w:sz w:val="22"/>
          <w:szCs w:val="22"/>
        </w:rPr>
        <w:t>Untitled (Standing Box)</w:t>
      </w:r>
      <w:r w:rsidR="00D74840" w:rsidRPr="001750A1">
        <w:rPr>
          <w:rFonts w:ascii="Roboto" w:hAnsi="Roboto"/>
          <w:i/>
          <w:iCs/>
          <w:sz w:val="22"/>
          <w:szCs w:val="22"/>
        </w:rPr>
        <w:t xml:space="preserve">, </w:t>
      </w:r>
      <w:r w:rsidRPr="001750A1">
        <w:rPr>
          <w:rFonts w:ascii="Roboto" w:hAnsi="Roboto"/>
          <w:sz w:val="22"/>
          <w:szCs w:val="22"/>
        </w:rPr>
        <w:t>1961</w:t>
      </w:r>
      <w:r w:rsidR="00D74840" w:rsidRPr="001750A1">
        <w:rPr>
          <w:rFonts w:ascii="Roboto" w:hAnsi="Roboto"/>
          <w:sz w:val="22"/>
          <w:szCs w:val="22"/>
        </w:rPr>
        <w:t xml:space="preserve">. </w:t>
      </w:r>
      <w:r w:rsidRPr="001750A1">
        <w:rPr>
          <w:rFonts w:ascii="Roboto" w:hAnsi="Roboto"/>
          <w:sz w:val="22"/>
          <w:szCs w:val="22"/>
        </w:rPr>
        <w:t>Plywood</w:t>
      </w:r>
    </w:p>
    <w:p w14:paraId="04A36248" w14:textId="2BE04EC3"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Tilda Swinton, </w:t>
      </w:r>
      <w:r w:rsidRPr="001750A1">
        <w:rPr>
          <w:rFonts w:ascii="Roboto" w:hAnsi="Roboto"/>
          <w:i/>
          <w:iCs/>
          <w:sz w:val="22"/>
          <w:szCs w:val="22"/>
        </w:rPr>
        <w:t xml:space="preserve">The Maybe, </w:t>
      </w:r>
      <w:r w:rsidRPr="001750A1">
        <w:rPr>
          <w:rFonts w:ascii="Roboto" w:hAnsi="Roboto"/>
          <w:sz w:val="22"/>
          <w:szCs w:val="22"/>
        </w:rPr>
        <w:t>1995- ongoing</w:t>
      </w:r>
      <w:r w:rsidR="001750A1">
        <w:rPr>
          <w:rFonts w:ascii="Roboto" w:hAnsi="Roboto"/>
          <w:sz w:val="22"/>
          <w:szCs w:val="22"/>
        </w:rPr>
        <w:t xml:space="preserve">, </w:t>
      </w:r>
      <w:r w:rsidRPr="001750A1">
        <w:rPr>
          <w:rFonts w:ascii="Roboto" w:hAnsi="Roboto"/>
          <w:sz w:val="22"/>
          <w:szCs w:val="22"/>
        </w:rPr>
        <w:t>Living artist, glass, steel, mattress, pillow, linen, water, spectacles</w:t>
      </w:r>
    </w:p>
    <w:p w14:paraId="50E8F301" w14:textId="46486079"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Santiago Sierra, </w:t>
      </w:r>
      <w:r w:rsidRPr="001750A1">
        <w:rPr>
          <w:rFonts w:ascii="Roboto" w:hAnsi="Roboto"/>
          <w:i/>
          <w:iCs/>
          <w:sz w:val="22"/>
          <w:szCs w:val="22"/>
        </w:rPr>
        <w:t xml:space="preserve">133 Persons Paid to Have Their Hair Dyed Blond, </w:t>
      </w:r>
      <w:r w:rsidRPr="001750A1">
        <w:rPr>
          <w:rFonts w:ascii="Roboto" w:hAnsi="Roboto"/>
          <w:sz w:val="22"/>
          <w:szCs w:val="22"/>
        </w:rPr>
        <w:t>performed at the Venice Biennale,</w:t>
      </w:r>
      <w:r w:rsidRPr="001750A1">
        <w:rPr>
          <w:rFonts w:ascii="Roboto" w:hAnsi="Roboto"/>
          <w:i/>
          <w:iCs/>
          <w:sz w:val="22"/>
          <w:szCs w:val="22"/>
        </w:rPr>
        <w:t xml:space="preserve"> </w:t>
      </w:r>
      <w:r w:rsidRPr="001750A1">
        <w:rPr>
          <w:rFonts w:ascii="Roboto" w:hAnsi="Roboto"/>
          <w:sz w:val="22"/>
          <w:szCs w:val="22"/>
        </w:rPr>
        <w:t xml:space="preserve">2001. </w:t>
      </w:r>
    </w:p>
    <w:p w14:paraId="2F518294" w14:textId="5CF55826"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Christoph Schlingensief, Bitte liebt Österreich, performance at the 2000 Vienna International festival. January, 2000. Vienna, Austria. </w:t>
      </w:r>
    </w:p>
    <w:p w14:paraId="77A7D99B" w14:textId="3A90D936"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Wendell Pierce (left) and J. Kyle Manzay rehearsing Paul Chan’s production of Waiting For Godot in the Gentilly neighborhood of New Orleans, 2007. Photograph from the NYTimes. </w:t>
      </w:r>
    </w:p>
    <w:p w14:paraId="7290C871" w14:textId="5CAD4717"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Crowds watching performance of Paul Chan’s production of </w:t>
      </w:r>
      <w:r w:rsidRPr="001750A1">
        <w:rPr>
          <w:rFonts w:ascii="Roboto" w:hAnsi="Roboto"/>
          <w:i/>
          <w:iCs/>
          <w:sz w:val="22"/>
          <w:szCs w:val="22"/>
        </w:rPr>
        <w:t>Waiting for Godot</w:t>
      </w:r>
      <w:r w:rsidRPr="001750A1">
        <w:rPr>
          <w:rFonts w:ascii="Roboto" w:hAnsi="Roboto"/>
          <w:sz w:val="22"/>
          <w:szCs w:val="22"/>
        </w:rPr>
        <w:t xml:space="preserve">, New Orleans, 2007. Performance in Gentilly and the Lower Ninth Ward. </w:t>
      </w:r>
    </w:p>
    <w:p w14:paraId="73D9E066" w14:textId="021A3E49"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Phil Collins, </w:t>
      </w:r>
      <w:r w:rsidRPr="001750A1">
        <w:rPr>
          <w:rFonts w:ascii="Roboto" w:hAnsi="Roboto"/>
          <w:i/>
          <w:iCs/>
          <w:sz w:val="22"/>
          <w:szCs w:val="22"/>
        </w:rPr>
        <w:t xml:space="preserve">they shoot horses, </w:t>
      </w:r>
      <w:r w:rsidRPr="001750A1">
        <w:rPr>
          <w:rFonts w:ascii="Roboto" w:hAnsi="Roboto"/>
          <w:sz w:val="22"/>
          <w:szCs w:val="22"/>
        </w:rPr>
        <w:t xml:space="preserve">2004. Video, 2 projections, color and sound. 7 hours, overall display dimensions variable.  </w:t>
      </w:r>
    </w:p>
    <w:p w14:paraId="13F26559" w14:textId="5D8C21CD"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Phil Collins, </w:t>
      </w:r>
      <w:r w:rsidRPr="001750A1">
        <w:rPr>
          <w:rFonts w:ascii="Roboto" w:hAnsi="Roboto"/>
          <w:i/>
          <w:iCs/>
          <w:sz w:val="22"/>
          <w:szCs w:val="22"/>
        </w:rPr>
        <w:t xml:space="preserve">the world won’t listen, </w:t>
      </w:r>
      <w:r w:rsidRPr="001750A1">
        <w:rPr>
          <w:rFonts w:ascii="Roboto" w:hAnsi="Roboto"/>
          <w:sz w:val="22"/>
          <w:szCs w:val="22"/>
        </w:rPr>
        <w:t xml:space="preserve">2004-2007, synchronized three-channel video. 56 minutes. </w:t>
      </w:r>
    </w:p>
    <w:p w14:paraId="5526D568" w14:textId="77777777"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Berlin-based artist Tino Sehgal, who does not permit documentation of his work (video, photographic, or otherwise). </w:t>
      </w:r>
    </w:p>
    <w:p w14:paraId="203DE397" w14:textId="658DCE01"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Work to discuss: Tino Seghal, </w:t>
      </w:r>
      <w:r w:rsidRPr="001750A1">
        <w:rPr>
          <w:rFonts w:ascii="Roboto" w:hAnsi="Roboto"/>
          <w:i/>
          <w:iCs/>
          <w:sz w:val="22"/>
          <w:szCs w:val="22"/>
        </w:rPr>
        <w:t xml:space="preserve">This Progress, </w:t>
      </w:r>
      <w:r w:rsidRPr="001750A1">
        <w:rPr>
          <w:rFonts w:ascii="Roboto" w:hAnsi="Roboto"/>
          <w:sz w:val="22"/>
          <w:szCs w:val="22"/>
        </w:rPr>
        <w:t xml:space="preserve">2006, presented at the Guggenheim Museum (New York) in 2010. </w:t>
      </w:r>
    </w:p>
    <w:p w14:paraId="23B4F8CC" w14:textId="557101F6"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Ai Weiwei</w:t>
      </w:r>
      <w:r w:rsidR="00D74840" w:rsidRPr="001750A1">
        <w:rPr>
          <w:rFonts w:ascii="Roboto" w:hAnsi="Roboto"/>
          <w:sz w:val="22"/>
          <w:szCs w:val="22"/>
        </w:rPr>
        <w:t xml:space="preserve">, </w:t>
      </w:r>
      <w:r w:rsidRPr="001750A1">
        <w:rPr>
          <w:rFonts w:ascii="Roboto" w:hAnsi="Roboto"/>
          <w:i/>
          <w:iCs/>
          <w:sz w:val="22"/>
          <w:szCs w:val="22"/>
        </w:rPr>
        <w:t>Sunflower Seeds</w:t>
      </w:r>
      <w:r w:rsidR="00D74840" w:rsidRPr="001750A1">
        <w:rPr>
          <w:rFonts w:ascii="Roboto" w:hAnsi="Roboto"/>
          <w:sz w:val="22"/>
          <w:szCs w:val="22"/>
        </w:rPr>
        <w:t xml:space="preserve">. </w:t>
      </w:r>
      <w:r w:rsidRPr="001750A1">
        <w:rPr>
          <w:rFonts w:ascii="Roboto" w:hAnsi="Roboto"/>
          <w:sz w:val="22"/>
          <w:szCs w:val="22"/>
        </w:rPr>
        <w:t xml:space="preserve">Installation photo of the “Unilever Series: Ai Weiwei, Sunflower Seeds,” at the Tate Modern, October 2010-May 2011. </w:t>
      </w:r>
    </w:p>
    <w:p w14:paraId="1407110F" w14:textId="3AC1135E"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 xml:space="preserve">Ai Weiwei, </w:t>
      </w:r>
      <w:r w:rsidRPr="001750A1">
        <w:rPr>
          <w:rFonts w:ascii="Roboto" w:hAnsi="Roboto"/>
          <w:i/>
          <w:iCs/>
          <w:sz w:val="22"/>
          <w:szCs w:val="22"/>
        </w:rPr>
        <w:t xml:space="preserve">Snake Ceiling, </w:t>
      </w:r>
      <w:r w:rsidRPr="001750A1">
        <w:rPr>
          <w:rFonts w:ascii="Roboto" w:hAnsi="Roboto"/>
          <w:sz w:val="22"/>
          <w:szCs w:val="22"/>
        </w:rPr>
        <w:t xml:space="preserve">2009. Children’s backpacks. Installation view of “According to What?” exhibition at the Hirshhorn Museum, 2013. </w:t>
      </w:r>
      <w:r w:rsidRPr="001750A1">
        <w:rPr>
          <w:rFonts w:ascii="Roboto" w:hAnsi="Roboto"/>
          <w:i/>
          <w:iCs/>
          <w:sz w:val="22"/>
          <w:szCs w:val="22"/>
        </w:rPr>
        <w:t xml:space="preserve"> </w:t>
      </w:r>
    </w:p>
    <w:p w14:paraId="37502F99" w14:textId="2A7DB6F1" w:rsidR="00B96122"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Doris Salcedo,</w:t>
      </w:r>
      <w:r w:rsidR="00D74840" w:rsidRPr="001750A1">
        <w:rPr>
          <w:rFonts w:ascii="Roboto" w:hAnsi="Roboto"/>
          <w:sz w:val="22"/>
          <w:szCs w:val="22"/>
        </w:rPr>
        <w:t xml:space="preserve"> </w:t>
      </w:r>
      <w:r w:rsidRPr="001750A1">
        <w:rPr>
          <w:rFonts w:ascii="Roboto" w:hAnsi="Roboto"/>
          <w:i/>
          <w:iCs/>
          <w:sz w:val="22"/>
          <w:szCs w:val="22"/>
        </w:rPr>
        <w:t xml:space="preserve">Untitled, </w:t>
      </w:r>
      <w:r w:rsidRPr="001750A1">
        <w:rPr>
          <w:rFonts w:ascii="Roboto" w:hAnsi="Roboto"/>
          <w:sz w:val="22"/>
          <w:szCs w:val="22"/>
        </w:rPr>
        <w:t>2003</w:t>
      </w:r>
      <w:r w:rsidR="00D74840" w:rsidRPr="001750A1">
        <w:rPr>
          <w:rFonts w:ascii="Roboto" w:hAnsi="Roboto"/>
          <w:sz w:val="22"/>
          <w:szCs w:val="22"/>
        </w:rPr>
        <w:t xml:space="preserve">. </w:t>
      </w:r>
      <w:r w:rsidRPr="001750A1">
        <w:rPr>
          <w:rFonts w:ascii="Roboto" w:hAnsi="Roboto"/>
          <w:sz w:val="22"/>
          <w:szCs w:val="22"/>
        </w:rPr>
        <w:t>Installation for the 8th Istanbul Biennial</w:t>
      </w:r>
      <w:r w:rsidR="001750A1">
        <w:rPr>
          <w:rFonts w:ascii="Roboto" w:hAnsi="Roboto"/>
          <w:sz w:val="22"/>
          <w:szCs w:val="22"/>
        </w:rPr>
        <w:t xml:space="preserve">, </w:t>
      </w:r>
      <w:r w:rsidRPr="001750A1">
        <w:rPr>
          <w:rFonts w:ascii="Roboto" w:hAnsi="Roboto"/>
          <w:sz w:val="22"/>
          <w:szCs w:val="22"/>
        </w:rPr>
        <w:t>1,500 chair stacked between two buildings</w:t>
      </w:r>
    </w:p>
    <w:p w14:paraId="7E8563BB" w14:textId="729C0669" w:rsidR="00E1126A" w:rsidRPr="001750A1" w:rsidRDefault="00B96122" w:rsidP="001750A1">
      <w:pPr>
        <w:pStyle w:val="ListParagraph"/>
        <w:numPr>
          <w:ilvl w:val="0"/>
          <w:numId w:val="1"/>
        </w:numPr>
        <w:spacing w:line="288" w:lineRule="auto"/>
        <w:rPr>
          <w:rFonts w:ascii="Roboto" w:hAnsi="Roboto"/>
          <w:sz w:val="22"/>
          <w:szCs w:val="22"/>
        </w:rPr>
      </w:pPr>
      <w:r w:rsidRPr="001750A1">
        <w:rPr>
          <w:rFonts w:ascii="Roboto" w:hAnsi="Roboto"/>
          <w:sz w:val="22"/>
          <w:szCs w:val="22"/>
        </w:rPr>
        <w:t>Doris Salcedo</w:t>
      </w:r>
      <w:r w:rsidR="00D74840" w:rsidRPr="001750A1">
        <w:rPr>
          <w:rFonts w:ascii="Roboto" w:hAnsi="Roboto"/>
          <w:sz w:val="22"/>
          <w:szCs w:val="22"/>
        </w:rPr>
        <w:t xml:space="preserve">, </w:t>
      </w:r>
      <w:r w:rsidRPr="001750A1">
        <w:rPr>
          <w:rFonts w:ascii="Roboto" w:hAnsi="Roboto"/>
          <w:i/>
          <w:iCs/>
          <w:sz w:val="22"/>
          <w:szCs w:val="22"/>
        </w:rPr>
        <w:t>Atrabiliarios</w:t>
      </w:r>
      <w:r w:rsidR="00D74840" w:rsidRPr="001750A1">
        <w:rPr>
          <w:rFonts w:ascii="Roboto" w:hAnsi="Roboto"/>
          <w:i/>
          <w:iCs/>
          <w:sz w:val="22"/>
          <w:szCs w:val="22"/>
        </w:rPr>
        <w:t xml:space="preserve">. </w:t>
      </w:r>
      <w:r w:rsidRPr="001750A1">
        <w:rPr>
          <w:rFonts w:ascii="Roboto" w:hAnsi="Roboto"/>
          <w:sz w:val="22"/>
          <w:szCs w:val="22"/>
        </w:rPr>
        <w:t>1992-93</w:t>
      </w:r>
      <w:r w:rsidR="001750A1">
        <w:rPr>
          <w:rFonts w:ascii="Roboto" w:hAnsi="Roboto"/>
          <w:sz w:val="22"/>
          <w:szCs w:val="22"/>
        </w:rPr>
        <w:t xml:space="preserve">, </w:t>
      </w:r>
      <w:r w:rsidRPr="001750A1">
        <w:rPr>
          <w:rFonts w:ascii="Roboto" w:hAnsi="Roboto"/>
          <w:sz w:val="22"/>
          <w:szCs w:val="22"/>
        </w:rPr>
        <w:t>Wall installation with plywood, shoes, anima</w:t>
      </w:r>
      <w:r w:rsidR="001750A1">
        <w:rPr>
          <w:rFonts w:ascii="Roboto" w:hAnsi="Roboto"/>
          <w:sz w:val="22"/>
          <w:szCs w:val="22"/>
        </w:rPr>
        <w:t>l fiber, thread, and sheepskin.</w:t>
      </w:r>
      <w:bookmarkStart w:id="0" w:name="_GoBack"/>
      <w:bookmarkEnd w:id="0"/>
    </w:p>
    <w:sectPr w:rsidR="00E1126A" w:rsidRPr="001750A1" w:rsidSect="00166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4668B"/>
    <w:multiLevelType w:val="hybridMultilevel"/>
    <w:tmpl w:val="61F20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6A"/>
    <w:rsid w:val="00124CEE"/>
    <w:rsid w:val="0016660A"/>
    <w:rsid w:val="001750A1"/>
    <w:rsid w:val="008A253B"/>
    <w:rsid w:val="0092442E"/>
    <w:rsid w:val="00B96122"/>
    <w:rsid w:val="00D74840"/>
    <w:rsid w:val="00E1126A"/>
    <w:rsid w:val="00EF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028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146">
      <w:bodyDiv w:val="1"/>
      <w:marLeft w:val="0"/>
      <w:marRight w:val="0"/>
      <w:marTop w:val="0"/>
      <w:marBottom w:val="0"/>
      <w:divBdr>
        <w:top w:val="none" w:sz="0" w:space="0" w:color="auto"/>
        <w:left w:val="none" w:sz="0" w:space="0" w:color="auto"/>
        <w:bottom w:val="none" w:sz="0" w:space="0" w:color="auto"/>
        <w:right w:val="none" w:sz="0" w:space="0" w:color="auto"/>
      </w:divBdr>
    </w:div>
    <w:div w:id="65878703">
      <w:bodyDiv w:val="1"/>
      <w:marLeft w:val="0"/>
      <w:marRight w:val="0"/>
      <w:marTop w:val="0"/>
      <w:marBottom w:val="0"/>
      <w:divBdr>
        <w:top w:val="none" w:sz="0" w:space="0" w:color="auto"/>
        <w:left w:val="none" w:sz="0" w:space="0" w:color="auto"/>
        <w:bottom w:val="none" w:sz="0" w:space="0" w:color="auto"/>
        <w:right w:val="none" w:sz="0" w:space="0" w:color="auto"/>
      </w:divBdr>
    </w:div>
    <w:div w:id="240722176">
      <w:bodyDiv w:val="1"/>
      <w:marLeft w:val="0"/>
      <w:marRight w:val="0"/>
      <w:marTop w:val="0"/>
      <w:marBottom w:val="0"/>
      <w:divBdr>
        <w:top w:val="none" w:sz="0" w:space="0" w:color="auto"/>
        <w:left w:val="none" w:sz="0" w:space="0" w:color="auto"/>
        <w:bottom w:val="none" w:sz="0" w:space="0" w:color="auto"/>
        <w:right w:val="none" w:sz="0" w:space="0" w:color="auto"/>
      </w:divBdr>
    </w:div>
    <w:div w:id="399522165">
      <w:bodyDiv w:val="1"/>
      <w:marLeft w:val="0"/>
      <w:marRight w:val="0"/>
      <w:marTop w:val="0"/>
      <w:marBottom w:val="0"/>
      <w:divBdr>
        <w:top w:val="none" w:sz="0" w:space="0" w:color="auto"/>
        <w:left w:val="none" w:sz="0" w:space="0" w:color="auto"/>
        <w:bottom w:val="none" w:sz="0" w:space="0" w:color="auto"/>
        <w:right w:val="none" w:sz="0" w:space="0" w:color="auto"/>
      </w:divBdr>
    </w:div>
    <w:div w:id="618797390">
      <w:bodyDiv w:val="1"/>
      <w:marLeft w:val="0"/>
      <w:marRight w:val="0"/>
      <w:marTop w:val="0"/>
      <w:marBottom w:val="0"/>
      <w:divBdr>
        <w:top w:val="none" w:sz="0" w:space="0" w:color="auto"/>
        <w:left w:val="none" w:sz="0" w:space="0" w:color="auto"/>
        <w:bottom w:val="none" w:sz="0" w:space="0" w:color="auto"/>
        <w:right w:val="none" w:sz="0" w:space="0" w:color="auto"/>
      </w:divBdr>
    </w:div>
    <w:div w:id="952832658">
      <w:bodyDiv w:val="1"/>
      <w:marLeft w:val="0"/>
      <w:marRight w:val="0"/>
      <w:marTop w:val="0"/>
      <w:marBottom w:val="0"/>
      <w:divBdr>
        <w:top w:val="none" w:sz="0" w:space="0" w:color="auto"/>
        <w:left w:val="none" w:sz="0" w:space="0" w:color="auto"/>
        <w:bottom w:val="none" w:sz="0" w:space="0" w:color="auto"/>
        <w:right w:val="none" w:sz="0" w:space="0" w:color="auto"/>
      </w:divBdr>
    </w:div>
    <w:div w:id="968587420">
      <w:bodyDiv w:val="1"/>
      <w:marLeft w:val="0"/>
      <w:marRight w:val="0"/>
      <w:marTop w:val="0"/>
      <w:marBottom w:val="0"/>
      <w:divBdr>
        <w:top w:val="none" w:sz="0" w:space="0" w:color="auto"/>
        <w:left w:val="none" w:sz="0" w:space="0" w:color="auto"/>
        <w:bottom w:val="none" w:sz="0" w:space="0" w:color="auto"/>
        <w:right w:val="none" w:sz="0" w:space="0" w:color="auto"/>
      </w:divBdr>
    </w:div>
    <w:div w:id="986008121">
      <w:bodyDiv w:val="1"/>
      <w:marLeft w:val="0"/>
      <w:marRight w:val="0"/>
      <w:marTop w:val="0"/>
      <w:marBottom w:val="0"/>
      <w:divBdr>
        <w:top w:val="none" w:sz="0" w:space="0" w:color="auto"/>
        <w:left w:val="none" w:sz="0" w:space="0" w:color="auto"/>
        <w:bottom w:val="none" w:sz="0" w:space="0" w:color="auto"/>
        <w:right w:val="none" w:sz="0" w:space="0" w:color="auto"/>
      </w:divBdr>
    </w:div>
    <w:div w:id="1018966416">
      <w:bodyDiv w:val="1"/>
      <w:marLeft w:val="0"/>
      <w:marRight w:val="0"/>
      <w:marTop w:val="0"/>
      <w:marBottom w:val="0"/>
      <w:divBdr>
        <w:top w:val="none" w:sz="0" w:space="0" w:color="auto"/>
        <w:left w:val="none" w:sz="0" w:space="0" w:color="auto"/>
        <w:bottom w:val="none" w:sz="0" w:space="0" w:color="auto"/>
        <w:right w:val="none" w:sz="0" w:space="0" w:color="auto"/>
      </w:divBdr>
    </w:div>
    <w:div w:id="1372536415">
      <w:bodyDiv w:val="1"/>
      <w:marLeft w:val="0"/>
      <w:marRight w:val="0"/>
      <w:marTop w:val="0"/>
      <w:marBottom w:val="0"/>
      <w:divBdr>
        <w:top w:val="none" w:sz="0" w:space="0" w:color="auto"/>
        <w:left w:val="none" w:sz="0" w:space="0" w:color="auto"/>
        <w:bottom w:val="none" w:sz="0" w:space="0" w:color="auto"/>
        <w:right w:val="none" w:sz="0" w:space="0" w:color="auto"/>
      </w:divBdr>
    </w:div>
    <w:div w:id="1476684531">
      <w:bodyDiv w:val="1"/>
      <w:marLeft w:val="0"/>
      <w:marRight w:val="0"/>
      <w:marTop w:val="0"/>
      <w:marBottom w:val="0"/>
      <w:divBdr>
        <w:top w:val="none" w:sz="0" w:space="0" w:color="auto"/>
        <w:left w:val="none" w:sz="0" w:space="0" w:color="auto"/>
        <w:bottom w:val="none" w:sz="0" w:space="0" w:color="auto"/>
        <w:right w:val="none" w:sz="0" w:space="0" w:color="auto"/>
      </w:divBdr>
    </w:div>
    <w:div w:id="1574848833">
      <w:bodyDiv w:val="1"/>
      <w:marLeft w:val="0"/>
      <w:marRight w:val="0"/>
      <w:marTop w:val="0"/>
      <w:marBottom w:val="0"/>
      <w:divBdr>
        <w:top w:val="none" w:sz="0" w:space="0" w:color="auto"/>
        <w:left w:val="none" w:sz="0" w:space="0" w:color="auto"/>
        <w:bottom w:val="none" w:sz="0" w:space="0" w:color="auto"/>
        <w:right w:val="none" w:sz="0" w:space="0" w:color="auto"/>
      </w:divBdr>
    </w:div>
    <w:div w:id="1622567979">
      <w:bodyDiv w:val="1"/>
      <w:marLeft w:val="0"/>
      <w:marRight w:val="0"/>
      <w:marTop w:val="0"/>
      <w:marBottom w:val="0"/>
      <w:divBdr>
        <w:top w:val="none" w:sz="0" w:space="0" w:color="auto"/>
        <w:left w:val="none" w:sz="0" w:space="0" w:color="auto"/>
        <w:bottom w:val="none" w:sz="0" w:space="0" w:color="auto"/>
        <w:right w:val="none" w:sz="0" w:space="0" w:color="auto"/>
      </w:divBdr>
    </w:div>
    <w:div w:id="1626698203">
      <w:bodyDiv w:val="1"/>
      <w:marLeft w:val="0"/>
      <w:marRight w:val="0"/>
      <w:marTop w:val="0"/>
      <w:marBottom w:val="0"/>
      <w:divBdr>
        <w:top w:val="none" w:sz="0" w:space="0" w:color="auto"/>
        <w:left w:val="none" w:sz="0" w:space="0" w:color="auto"/>
        <w:bottom w:val="none" w:sz="0" w:space="0" w:color="auto"/>
        <w:right w:val="none" w:sz="0" w:space="0" w:color="auto"/>
      </w:divBdr>
    </w:div>
    <w:div w:id="1665011028">
      <w:bodyDiv w:val="1"/>
      <w:marLeft w:val="0"/>
      <w:marRight w:val="0"/>
      <w:marTop w:val="0"/>
      <w:marBottom w:val="0"/>
      <w:divBdr>
        <w:top w:val="none" w:sz="0" w:space="0" w:color="auto"/>
        <w:left w:val="none" w:sz="0" w:space="0" w:color="auto"/>
        <w:bottom w:val="none" w:sz="0" w:space="0" w:color="auto"/>
        <w:right w:val="none" w:sz="0" w:space="0" w:color="auto"/>
      </w:divBdr>
    </w:div>
    <w:div w:id="1796287735">
      <w:bodyDiv w:val="1"/>
      <w:marLeft w:val="0"/>
      <w:marRight w:val="0"/>
      <w:marTop w:val="0"/>
      <w:marBottom w:val="0"/>
      <w:divBdr>
        <w:top w:val="none" w:sz="0" w:space="0" w:color="auto"/>
        <w:left w:val="none" w:sz="0" w:space="0" w:color="auto"/>
        <w:bottom w:val="none" w:sz="0" w:space="0" w:color="auto"/>
        <w:right w:val="none" w:sz="0" w:space="0" w:color="auto"/>
      </w:divBdr>
    </w:div>
    <w:div w:id="1885633744">
      <w:bodyDiv w:val="1"/>
      <w:marLeft w:val="0"/>
      <w:marRight w:val="0"/>
      <w:marTop w:val="0"/>
      <w:marBottom w:val="0"/>
      <w:divBdr>
        <w:top w:val="none" w:sz="0" w:space="0" w:color="auto"/>
        <w:left w:val="none" w:sz="0" w:space="0" w:color="auto"/>
        <w:bottom w:val="none" w:sz="0" w:space="0" w:color="auto"/>
        <w:right w:val="none" w:sz="0" w:space="0" w:color="auto"/>
      </w:divBdr>
    </w:div>
    <w:div w:id="1965576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Burleigh</dc:creator>
  <cp:keywords/>
  <dc:description/>
  <cp:lastModifiedBy>Kirsten Walsh</cp:lastModifiedBy>
  <cp:revision>6</cp:revision>
  <dcterms:created xsi:type="dcterms:W3CDTF">2016-11-07T01:07:00Z</dcterms:created>
  <dcterms:modified xsi:type="dcterms:W3CDTF">2016-11-07T14:29:00Z</dcterms:modified>
</cp:coreProperties>
</file>