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C1EAE" w14:textId="77777777" w:rsidR="00E308C9" w:rsidRPr="008B4168" w:rsidRDefault="008B4168" w:rsidP="008B4168">
      <w:pPr>
        <w:jc w:val="center"/>
        <w:rPr>
          <w:rFonts w:eastAsia="Times New Roman" w:cs="Times New Roman"/>
          <w:color w:val="222222"/>
          <w:sz w:val="24"/>
          <w:szCs w:val="24"/>
        </w:rPr>
      </w:pPr>
      <w:bookmarkStart w:id="0" w:name="_GoBack"/>
      <w:bookmarkEnd w:id="0"/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Revisiting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t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he Renaissance: Key Ingredients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o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f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a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 Cultural Transformation, 1400-1600</w:t>
      </w:r>
      <w:r w:rsidRPr="008B4168">
        <w:rPr>
          <w:rFonts w:eastAsia="Times New Roman" w:cs="Times New Roman"/>
          <w:b/>
          <w:bCs/>
          <w:iCs/>
          <w:color w:val="222222"/>
          <w:sz w:val="24"/>
          <w:szCs w:val="24"/>
        </w:rPr>
        <w:br/>
      </w:r>
      <w:r w:rsidRPr="008B4168">
        <w:rPr>
          <w:rFonts w:eastAsia="Times New Roman" w:cs="Times New Roman"/>
          <w:color w:val="222222"/>
          <w:sz w:val="24"/>
          <w:szCs w:val="24"/>
        </w:rPr>
        <w:t>Aneta Georgievska-Shine, Lecturer in Art History, University of Maryland</w:t>
      </w:r>
    </w:p>
    <w:p w14:paraId="6081EA47" w14:textId="77777777" w:rsidR="008B4168" w:rsidRPr="008B4168" w:rsidRDefault="008B4168" w:rsidP="008B4168">
      <w:pPr>
        <w:jc w:val="center"/>
        <w:rPr>
          <w:rFonts w:cs="Times New Roman"/>
          <w:sz w:val="24"/>
          <w:szCs w:val="24"/>
        </w:rPr>
      </w:pPr>
    </w:p>
    <w:p w14:paraId="2BA4A5B8" w14:textId="77777777" w:rsidR="00ED5AD6" w:rsidRDefault="00ED5AD6" w:rsidP="008B4168">
      <w:pPr>
        <w:jc w:val="center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14:paraId="73058360" w14:textId="68CD6B92" w:rsidR="008B4168" w:rsidRDefault="008B4168" w:rsidP="008B4168">
      <w:pPr>
        <w:jc w:val="center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Part </w:t>
      </w:r>
      <w:r w:rsidR="00ED5A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3: Painting as a Form of Knowledge – Science and Philosophy</w:t>
      </w:r>
    </w:p>
    <w:p w14:paraId="358DF50F" w14:textId="77777777" w:rsidR="008B4168" w:rsidRDefault="008B4168" w:rsidP="008B4168">
      <w:pPr>
        <w:jc w:val="center"/>
        <w:rPr>
          <w:rFonts w:cs="Times New Roman"/>
          <w:sz w:val="24"/>
          <w:szCs w:val="24"/>
        </w:rPr>
      </w:pPr>
    </w:p>
    <w:p w14:paraId="6300D642" w14:textId="77777777" w:rsidR="00ED5AD6" w:rsidRDefault="00ED5AD6" w:rsidP="001C1422">
      <w:pPr>
        <w:spacing w:line="360" w:lineRule="auto"/>
        <w:rPr>
          <w:rFonts w:cs="Times New Roman"/>
          <w:sz w:val="24"/>
          <w:szCs w:val="24"/>
        </w:rPr>
      </w:pPr>
    </w:p>
    <w:p w14:paraId="21FF0B9B" w14:textId="667649FA" w:rsid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Raphael, Stanza della Segnatura, </w:t>
      </w:r>
      <w:r w:rsidR="00ED5AD6">
        <w:rPr>
          <w:rFonts w:cs="Times New Roman"/>
          <w:sz w:val="24"/>
          <w:szCs w:val="24"/>
        </w:rPr>
        <w:t xml:space="preserve">ceiling, 1509, </w:t>
      </w:r>
      <w:r>
        <w:rPr>
          <w:rFonts w:cs="Times New Roman"/>
          <w:sz w:val="24"/>
          <w:szCs w:val="24"/>
        </w:rPr>
        <w:t>Palazzi Pontifici, Vatican</w:t>
      </w:r>
    </w:p>
    <w:p w14:paraId="3E45B270" w14:textId="1CC2E564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Raphael, Stanza della Segnatura, Poetry, Theology, Justice, 1509, Palazzi Pontifici, Vatican</w:t>
      </w:r>
    </w:p>
    <w:p w14:paraId="65E312A2" w14:textId="503105AC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Raphael, Prime Mover (or Astronomy or Astrology) 1509, Palazzi Pontifici, Vatican</w:t>
      </w:r>
    </w:p>
    <w:p w14:paraId="4842FBCE" w14:textId="63CA4519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Raphael, School of Athens, Stanza della Segnatura, 1509, Palazzi Pontifici, Vatican</w:t>
      </w:r>
    </w:p>
    <w:p w14:paraId="1276FE2A" w14:textId="77777777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Raphael, School of Athens, Stanza della Segnatura, 1509, Palazzi Pontifici, Vatican</w:t>
      </w:r>
    </w:p>
    <w:p w14:paraId="20A7D016" w14:textId="13493DDD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Raphael, Parnassus, Stanza della Segnatura, 1509, Palazzi Pontifici, Vatican</w:t>
      </w:r>
    </w:p>
    <w:p w14:paraId="7BD6F07E" w14:textId="471BCE93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Raphael, Dsiputa, Stanza della Segnatura, 1509, Palazzi Pontifici, Vatican</w:t>
      </w:r>
    </w:p>
    <w:p w14:paraId="32B94FB2" w14:textId="77777777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Raphael, The Golden Rectangle, Stanza della Segnatura, 1510.</w:t>
      </w:r>
    </w:p>
    <w:p w14:paraId="3C191E1A" w14:textId="49CB1B77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Jacopo de Barbari, Portrait of Luca Pacioli and a Student, 1489, Milan</w:t>
      </w:r>
    </w:p>
    <w:p w14:paraId="0FE98B8F" w14:textId="4B50183C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Melzi, Portrait of Leonardo da Vinci, ca. 1510</w:t>
      </w:r>
    </w:p>
    <w:p w14:paraId="5ABE9E3F" w14:textId="35C49B80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Leonardo, various designs of geometric bodies and forms, Pacioli, </w:t>
      </w:r>
      <w:r w:rsidRPr="00ED5AD6">
        <w:rPr>
          <w:rFonts w:cs="Times New Roman"/>
          <w:i/>
          <w:sz w:val="24"/>
          <w:szCs w:val="24"/>
        </w:rPr>
        <w:t>De divina proportione</w:t>
      </w:r>
      <w:r>
        <w:rPr>
          <w:rFonts w:cs="Times New Roman"/>
          <w:sz w:val="24"/>
          <w:szCs w:val="24"/>
        </w:rPr>
        <w:t>, 1509</w:t>
      </w:r>
    </w:p>
    <w:p w14:paraId="528E414F" w14:textId="6F9D83D3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Leonardo, Self-Portrait (?), ca. 1512, Turin</w:t>
      </w:r>
    </w:p>
    <w:p w14:paraId="7E6E54C7" w14:textId="37091176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Leonardo, Drawings of a fetus, ca. 1510 </w:t>
      </w:r>
    </w:p>
    <w:p w14:paraId="71EFA8AA" w14:textId="629912D0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Leonardo, Studies of embryos, 1509-14, Windsor</w:t>
      </w:r>
    </w:p>
    <w:p w14:paraId="25739732" w14:textId="79937EF8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Leonardo, Profile of a Man and Study of two Riders, 1490 and 1504, Venice</w:t>
      </w:r>
    </w:p>
    <w:p w14:paraId="2A7AE476" w14:textId="38814968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Leonardo, Anatomical Studies of a Male Shoulder, 1509-10, Windsor</w:t>
      </w:r>
    </w:p>
    <w:p w14:paraId="52E9E183" w14:textId="5EF0DCA8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Leonardo, The Vitruvian Man, 1492, Venice</w:t>
      </w:r>
    </w:p>
    <w:p w14:paraId="594DFB90" w14:textId="793C6882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Leonardo, The Star of Bethlehem, ca. 1507-8, Windsor</w:t>
      </w:r>
    </w:p>
    <w:p w14:paraId="1D82325A" w14:textId="2441E1ED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Leonardo, Natural Disaster, 1517-18, Windsor</w:t>
      </w:r>
    </w:p>
    <w:p w14:paraId="0E84FB78" w14:textId="187335A7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Leonardo, Seated Old Man, date?, Windsor</w:t>
      </w:r>
    </w:p>
    <w:p w14:paraId="16DE18AB" w14:textId="77777777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</w:p>
    <w:p w14:paraId="6D415308" w14:textId="77777777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</w:p>
    <w:p w14:paraId="0B74AD10" w14:textId="77777777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</w:p>
    <w:p w14:paraId="08D72E4A" w14:textId="512B1FC3" w:rsidR="00ED5AD6" w:rsidRDefault="00ED5AD6" w:rsidP="00ED5A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01EF37B4" w14:textId="7E6B53A3" w:rsidR="008B4168" w:rsidRPr="008B4168" w:rsidRDefault="008B4168" w:rsidP="001C1422">
      <w:pPr>
        <w:spacing w:line="360" w:lineRule="auto"/>
        <w:rPr>
          <w:rFonts w:cs="Times New Roman"/>
          <w:sz w:val="24"/>
          <w:szCs w:val="24"/>
        </w:rPr>
      </w:pPr>
    </w:p>
    <w:sectPr w:rsidR="008B4168" w:rsidRPr="008B4168" w:rsidSect="001C142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8"/>
    <w:rsid w:val="000503C7"/>
    <w:rsid w:val="000D58A1"/>
    <w:rsid w:val="001909F4"/>
    <w:rsid w:val="001C1422"/>
    <w:rsid w:val="001F2554"/>
    <w:rsid w:val="008B4168"/>
    <w:rsid w:val="00906E42"/>
    <w:rsid w:val="00927514"/>
    <w:rsid w:val="00B61CCD"/>
    <w:rsid w:val="00EC18DD"/>
    <w:rsid w:val="00E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A979"/>
  <w15:chartTrackingRefBased/>
  <w15:docId w15:val="{C314CF6C-80DF-6543-9E8B-9C1B99A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Dillin</cp:lastModifiedBy>
  <cp:revision>2</cp:revision>
  <cp:lastPrinted>2019-02-05T15:03:00Z</cp:lastPrinted>
  <dcterms:created xsi:type="dcterms:W3CDTF">2019-02-05T15:03:00Z</dcterms:created>
  <dcterms:modified xsi:type="dcterms:W3CDTF">2019-02-05T15:03:00Z</dcterms:modified>
</cp:coreProperties>
</file>