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08C9" w:rsidRPr="008B4168" w:rsidRDefault="008B4168" w:rsidP="008B4168">
      <w:pPr>
        <w:jc w:val="center"/>
        <w:rPr>
          <w:rFonts w:eastAsia="Times New Roman" w:cs="Times New Roman"/>
          <w:color w:val="222222"/>
          <w:sz w:val="24"/>
          <w:szCs w:val="24"/>
        </w:rPr>
      </w:pPr>
      <w:r w:rsidRPr="008B4168">
        <w:rPr>
          <w:rFonts w:eastAsia="Times New Roman" w:cs="Times New Roman"/>
          <w:bCs/>
          <w:iCs/>
          <w:color w:val="222222"/>
          <w:sz w:val="24"/>
          <w:szCs w:val="24"/>
        </w:rPr>
        <w:t xml:space="preserve">Revisiting </w:t>
      </w:r>
      <w:r>
        <w:rPr>
          <w:rFonts w:eastAsia="Times New Roman" w:cs="Times New Roman"/>
          <w:bCs/>
          <w:iCs/>
          <w:color w:val="222222"/>
          <w:sz w:val="24"/>
          <w:szCs w:val="24"/>
        </w:rPr>
        <w:t>t</w:t>
      </w:r>
      <w:r w:rsidRPr="008B4168">
        <w:rPr>
          <w:rFonts w:eastAsia="Times New Roman" w:cs="Times New Roman"/>
          <w:bCs/>
          <w:iCs/>
          <w:color w:val="222222"/>
          <w:sz w:val="24"/>
          <w:szCs w:val="24"/>
        </w:rPr>
        <w:t xml:space="preserve">he Renaissance: Key Ingredients </w:t>
      </w:r>
      <w:r>
        <w:rPr>
          <w:rFonts w:eastAsia="Times New Roman" w:cs="Times New Roman"/>
          <w:bCs/>
          <w:iCs/>
          <w:color w:val="222222"/>
          <w:sz w:val="24"/>
          <w:szCs w:val="24"/>
        </w:rPr>
        <w:t>o</w:t>
      </w:r>
      <w:r w:rsidRPr="008B4168">
        <w:rPr>
          <w:rFonts w:eastAsia="Times New Roman" w:cs="Times New Roman"/>
          <w:bCs/>
          <w:iCs/>
          <w:color w:val="222222"/>
          <w:sz w:val="24"/>
          <w:szCs w:val="24"/>
        </w:rPr>
        <w:t xml:space="preserve">f </w:t>
      </w:r>
      <w:r>
        <w:rPr>
          <w:rFonts w:eastAsia="Times New Roman" w:cs="Times New Roman"/>
          <w:bCs/>
          <w:iCs/>
          <w:color w:val="222222"/>
          <w:sz w:val="24"/>
          <w:szCs w:val="24"/>
        </w:rPr>
        <w:t>a</w:t>
      </w:r>
      <w:r w:rsidRPr="008B4168">
        <w:rPr>
          <w:rFonts w:eastAsia="Times New Roman" w:cs="Times New Roman"/>
          <w:bCs/>
          <w:iCs/>
          <w:color w:val="222222"/>
          <w:sz w:val="24"/>
          <w:szCs w:val="24"/>
        </w:rPr>
        <w:t xml:space="preserve"> Cultural Transformation, 1400-1600</w:t>
      </w:r>
      <w:r w:rsidRPr="008B4168">
        <w:rPr>
          <w:rFonts w:eastAsia="Times New Roman" w:cs="Times New Roman"/>
          <w:b/>
          <w:bCs/>
          <w:iCs/>
          <w:color w:val="222222"/>
          <w:sz w:val="24"/>
          <w:szCs w:val="24"/>
        </w:rPr>
        <w:br/>
      </w:r>
      <w:proofErr w:type="spellStart"/>
      <w:r w:rsidRPr="008B4168">
        <w:rPr>
          <w:rFonts w:eastAsia="Times New Roman" w:cs="Times New Roman"/>
          <w:color w:val="222222"/>
          <w:sz w:val="24"/>
          <w:szCs w:val="24"/>
        </w:rPr>
        <w:t>Aneta</w:t>
      </w:r>
      <w:proofErr w:type="spellEnd"/>
      <w:r w:rsidRPr="008B4168">
        <w:rPr>
          <w:rFonts w:eastAsia="Times New Roman" w:cs="Times New Roman"/>
          <w:color w:val="222222"/>
          <w:sz w:val="24"/>
          <w:szCs w:val="24"/>
        </w:rPr>
        <w:t xml:space="preserve"> </w:t>
      </w:r>
      <w:proofErr w:type="spellStart"/>
      <w:r w:rsidRPr="008B4168">
        <w:rPr>
          <w:rFonts w:eastAsia="Times New Roman" w:cs="Times New Roman"/>
          <w:color w:val="222222"/>
          <w:sz w:val="24"/>
          <w:szCs w:val="24"/>
        </w:rPr>
        <w:t>Georgievska</w:t>
      </w:r>
      <w:proofErr w:type="spellEnd"/>
      <w:r w:rsidRPr="008B4168">
        <w:rPr>
          <w:rFonts w:eastAsia="Times New Roman" w:cs="Times New Roman"/>
          <w:color w:val="222222"/>
          <w:sz w:val="24"/>
          <w:szCs w:val="24"/>
        </w:rPr>
        <w:t>-Shine, Lecturer in Art History, University of Maryland</w:t>
      </w:r>
    </w:p>
    <w:p w:rsidR="008B4168" w:rsidRPr="008B4168" w:rsidRDefault="008B4168" w:rsidP="008B4168">
      <w:pPr>
        <w:jc w:val="center"/>
        <w:rPr>
          <w:rFonts w:cs="Times New Roman"/>
          <w:sz w:val="24"/>
          <w:szCs w:val="24"/>
        </w:rPr>
      </w:pPr>
    </w:p>
    <w:p w:rsidR="008B4168" w:rsidRDefault="008B4168" w:rsidP="008B4168">
      <w:pPr>
        <w:jc w:val="center"/>
        <w:rPr>
          <w:rFonts w:eastAsia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eastAsia="Times New Roman" w:cs="Times New Roman"/>
          <w:color w:val="222222"/>
          <w:sz w:val="24"/>
          <w:szCs w:val="24"/>
          <w:shd w:val="clear" w:color="auto" w:fill="FFFFFF"/>
        </w:rPr>
        <w:t xml:space="preserve">Part </w:t>
      </w:r>
      <w:r w:rsidR="00B00D77">
        <w:rPr>
          <w:rFonts w:eastAsia="Times New Roman" w:cs="Times New Roman"/>
          <w:color w:val="222222"/>
          <w:sz w:val="24"/>
          <w:szCs w:val="24"/>
          <w:shd w:val="clear" w:color="auto" w:fill="FFFFFF"/>
        </w:rPr>
        <w:t>2: Painting as a Liberal Art</w:t>
      </w:r>
    </w:p>
    <w:p w:rsidR="008B4168" w:rsidRDefault="008B4168" w:rsidP="008B4168">
      <w:pPr>
        <w:jc w:val="center"/>
        <w:rPr>
          <w:rFonts w:cs="Times New Roman"/>
          <w:sz w:val="24"/>
          <w:szCs w:val="24"/>
        </w:rPr>
      </w:pPr>
    </w:p>
    <w:p w:rsidR="008B4168" w:rsidRDefault="00B00D77" w:rsidP="001C1422">
      <w:pPr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Leonardo da Vinci, Virgin and Child with St. Anne, ca. 1503, Louvre</w:t>
      </w:r>
    </w:p>
    <w:p w:rsidR="00B00D77" w:rsidRDefault="00B00D77" w:rsidP="001C1422">
      <w:pPr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Botticelli, Young Man being introduced by Grammar to her Sisters (Liberal Arts), 1480-s, Uffizi</w:t>
      </w:r>
    </w:p>
    <w:p w:rsidR="00B00D77" w:rsidRDefault="00B00D77" w:rsidP="001C1422">
      <w:pPr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Hieronymus Cock after Frans Floris, The Liberal Arts (Prints), ca. 1580’s</w:t>
      </w:r>
    </w:p>
    <w:p w:rsidR="00B00D77" w:rsidRDefault="00B00D77" w:rsidP="001C1422">
      <w:pPr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Hendrick </w:t>
      </w:r>
      <w:proofErr w:type="spellStart"/>
      <w:r>
        <w:rPr>
          <w:rFonts w:cs="Times New Roman"/>
          <w:sz w:val="24"/>
          <w:szCs w:val="24"/>
        </w:rPr>
        <w:t>Goltzius</w:t>
      </w:r>
      <w:proofErr w:type="spellEnd"/>
      <w:r>
        <w:rPr>
          <w:rFonts w:cs="Times New Roman"/>
          <w:sz w:val="24"/>
          <w:szCs w:val="24"/>
        </w:rPr>
        <w:t xml:space="preserve">, Mercury/Painter, ca. 1611-13, Rotterdam, </w:t>
      </w:r>
      <w:proofErr w:type="spellStart"/>
      <w:r>
        <w:rPr>
          <w:rFonts w:cs="Times New Roman"/>
          <w:sz w:val="24"/>
          <w:szCs w:val="24"/>
        </w:rPr>
        <w:t>Boijmans</w:t>
      </w:r>
      <w:proofErr w:type="spellEnd"/>
    </w:p>
    <w:p w:rsidR="00B00D77" w:rsidRDefault="00B00D77" w:rsidP="001C1422">
      <w:pPr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Alberti, Santa Maria Novella, façade, ca. 1448-1470</w:t>
      </w:r>
    </w:p>
    <w:p w:rsidR="00B00D77" w:rsidRDefault="00B00D77" w:rsidP="001C1422">
      <w:pPr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Alberti, Self-Portrait (medal), ca. 1435, NGA</w:t>
      </w:r>
    </w:p>
    <w:p w:rsidR="00B00D77" w:rsidRDefault="00B00D77" w:rsidP="001C1422">
      <w:pPr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Masaccio, Trinity Fresco, ca. 1425-28, Santa Maria Novella, Florence</w:t>
      </w:r>
    </w:p>
    <w:p w:rsidR="00B00D77" w:rsidRDefault="00B00D77" w:rsidP="001C1422">
      <w:pPr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Pietro Perugino, Christ giving the Keys to St. Peter, ca. 1500, Sistine Chapel, Vatican</w:t>
      </w:r>
    </w:p>
    <w:p w:rsidR="00B00D77" w:rsidRDefault="00B00D77" w:rsidP="001C1422">
      <w:pPr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Bramante, Tempietto, designed 1502, San Pietro in </w:t>
      </w:r>
      <w:proofErr w:type="spellStart"/>
      <w:r>
        <w:rPr>
          <w:rFonts w:cs="Times New Roman"/>
          <w:sz w:val="24"/>
          <w:szCs w:val="24"/>
        </w:rPr>
        <w:t>Montorio</w:t>
      </w:r>
      <w:proofErr w:type="spellEnd"/>
      <w:r>
        <w:rPr>
          <w:rFonts w:cs="Times New Roman"/>
          <w:sz w:val="24"/>
          <w:szCs w:val="24"/>
        </w:rPr>
        <w:t>, Rome</w:t>
      </w:r>
    </w:p>
    <w:p w:rsidR="00B00D77" w:rsidRDefault="00B00D77" w:rsidP="001C1422">
      <w:pPr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Antonello da Messina, St. Jerome in his Study, ca. 1460, oil/panel, NG London</w:t>
      </w:r>
    </w:p>
    <w:p w:rsidR="00B00D77" w:rsidRDefault="00B00D77" w:rsidP="001C1422">
      <w:pPr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Piero di </w:t>
      </w:r>
      <w:proofErr w:type="spellStart"/>
      <w:r>
        <w:rPr>
          <w:rFonts w:cs="Times New Roman"/>
          <w:sz w:val="24"/>
          <w:szCs w:val="24"/>
        </w:rPr>
        <w:t>Cosimo</w:t>
      </w:r>
      <w:proofErr w:type="spellEnd"/>
      <w:r>
        <w:rPr>
          <w:rFonts w:cs="Times New Roman"/>
          <w:sz w:val="24"/>
          <w:szCs w:val="24"/>
        </w:rPr>
        <w:t>, Death of Procris, ca. 1500, NG London</w:t>
      </w:r>
    </w:p>
    <w:p w:rsidR="00B00D77" w:rsidRDefault="00B00D77" w:rsidP="001C1422">
      <w:pPr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Raphael, The Vision of a Knight, 1504-5, NG London</w:t>
      </w:r>
    </w:p>
    <w:p w:rsidR="00B00D77" w:rsidRDefault="00B00D77" w:rsidP="001C1422">
      <w:pPr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Botticelli, Calumny of Apelles, 1485, Uffizi</w:t>
      </w:r>
    </w:p>
    <w:p w:rsidR="00B00D77" w:rsidRDefault="00B00D77" w:rsidP="001C1422">
      <w:pPr>
        <w:spacing w:line="360" w:lineRule="auto"/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Breu</w:t>
      </w:r>
      <w:proofErr w:type="spellEnd"/>
      <w:r>
        <w:rPr>
          <w:rFonts w:cs="Times New Roman"/>
          <w:sz w:val="24"/>
          <w:szCs w:val="24"/>
        </w:rPr>
        <w:t xml:space="preserve"> after Mantegna, Calumny of Apelles, drawing</w:t>
      </w:r>
    </w:p>
    <w:p w:rsidR="00B00D77" w:rsidRDefault="00B00D77" w:rsidP="001C1422">
      <w:pPr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Pieter Bruegel the Elder, Calumny of Apelles, drawing, BM</w:t>
      </w:r>
    </w:p>
    <w:p w:rsidR="00B00D77" w:rsidRDefault="00B00D77" w:rsidP="001C1422">
      <w:pPr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Cornelis </w:t>
      </w:r>
      <w:proofErr w:type="spellStart"/>
      <w:r>
        <w:rPr>
          <w:rFonts w:cs="Times New Roman"/>
          <w:sz w:val="24"/>
          <w:szCs w:val="24"/>
        </w:rPr>
        <w:t>Cort</w:t>
      </w:r>
      <w:proofErr w:type="spellEnd"/>
      <w:r>
        <w:rPr>
          <w:rFonts w:cs="Times New Roman"/>
          <w:sz w:val="24"/>
          <w:szCs w:val="24"/>
        </w:rPr>
        <w:t xml:space="preserve"> after </w:t>
      </w:r>
      <w:proofErr w:type="spellStart"/>
      <w:r>
        <w:rPr>
          <w:rFonts w:cs="Times New Roman"/>
          <w:sz w:val="24"/>
          <w:szCs w:val="24"/>
        </w:rPr>
        <w:t>Zuccaro</w:t>
      </w:r>
      <w:proofErr w:type="spellEnd"/>
      <w:r>
        <w:rPr>
          <w:rFonts w:cs="Times New Roman"/>
          <w:sz w:val="24"/>
          <w:szCs w:val="24"/>
        </w:rPr>
        <w:t>, Calumny of Apelles, 1602</w:t>
      </w:r>
    </w:p>
    <w:p w:rsidR="00B00D77" w:rsidRDefault="00B00D77" w:rsidP="001C1422">
      <w:pPr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Marten de Vos, Calumny of Apelles, oil/panel, Luxembourg</w:t>
      </w:r>
    </w:p>
    <w:p w:rsidR="00B00D77" w:rsidRDefault="00B00D77" w:rsidP="001C1422">
      <w:pPr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Rembrandt, Calumny of Apelles, ca. 1650, drawing, BM</w:t>
      </w:r>
    </w:p>
    <w:p w:rsidR="00B00D77" w:rsidRDefault="00B00D77" w:rsidP="001C1422">
      <w:pPr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Giovanni Bellini, Sacred Allegory, ca. 1500, Uffizi</w:t>
      </w:r>
    </w:p>
    <w:p w:rsidR="00B00D77" w:rsidRDefault="00432819" w:rsidP="001C1422">
      <w:pPr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Bellini (Four Allegories) – Lust (or Perseverance), ca. 1490/ Fortune (or Melancholy) ca. 1490</w:t>
      </w:r>
    </w:p>
    <w:p w:rsidR="00432819" w:rsidRDefault="00432819" w:rsidP="001C1422">
      <w:pPr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Mantegna, St. Sebastian, ca. 1480, Louvre</w:t>
      </w:r>
    </w:p>
    <w:p w:rsidR="00432819" w:rsidRDefault="00432819" w:rsidP="001C1422">
      <w:pPr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Mantegna, Dead Christ, ca. 1480, Brera, Milan</w:t>
      </w:r>
    </w:p>
    <w:p w:rsidR="00432819" w:rsidRDefault="00432819" w:rsidP="001C1422">
      <w:pPr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Vasari, St. Luke painting the Virgin, 1565, </w:t>
      </w:r>
      <w:proofErr w:type="spellStart"/>
      <w:r>
        <w:rPr>
          <w:rFonts w:cs="Times New Roman"/>
          <w:sz w:val="24"/>
          <w:szCs w:val="24"/>
        </w:rPr>
        <w:t>Santissima</w:t>
      </w:r>
      <w:proofErr w:type="spellEnd"/>
      <w:r>
        <w:rPr>
          <w:rFonts w:cs="Times New Roman"/>
          <w:sz w:val="24"/>
          <w:szCs w:val="24"/>
        </w:rPr>
        <w:t xml:space="preserve"> Annunziata, </w:t>
      </w:r>
      <w:proofErr w:type="spellStart"/>
      <w:r>
        <w:rPr>
          <w:rFonts w:cs="Times New Roman"/>
          <w:sz w:val="24"/>
          <w:szCs w:val="24"/>
        </w:rPr>
        <w:t>Floence</w:t>
      </w:r>
      <w:proofErr w:type="spellEnd"/>
    </w:p>
    <w:p w:rsidR="00432819" w:rsidRDefault="00432819" w:rsidP="001C1422">
      <w:pPr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Cellini, design for an emblem for the Accademia del </w:t>
      </w:r>
      <w:proofErr w:type="spellStart"/>
      <w:r>
        <w:rPr>
          <w:rFonts w:cs="Times New Roman"/>
          <w:sz w:val="24"/>
          <w:szCs w:val="24"/>
        </w:rPr>
        <w:t>Disegno</w:t>
      </w:r>
      <w:proofErr w:type="spellEnd"/>
      <w:r>
        <w:rPr>
          <w:rFonts w:cs="Times New Roman"/>
          <w:sz w:val="24"/>
          <w:szCs w:val="24"/>
        </w:rPr>
        <w:t>, c. 1562, BM</w:t>
      </w:r>
    </w:p>
    <w:p w:rsidR="00432819" w:rsidRDefault="00432819" w:rsidP="001C1422">
      <w:pPr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Vasari, Page from Libro de </w:t>
      </w:r>
      <w:proofErr w:type="spellStart"/>
      <w:r>
        <w:rPr>
          <w:rFonts w:cs="Times New Roman"/>
          <w:sz w:val="24"/>
          <w:szCs w:val="24"/>
        </w:rPr>
        <w:t>Disegni</w:t>
      </w:r>
      <w:proofErr w:type="spellEnd"/>
      <w:r>
        <w:rPr>
          <w:rFonts w:cs="Times New Roman"/>
          <w:sz w:val="24"/>
          <w:szCs w:val="24"/>
        </w:rPr>
        <w:t>, after 1530, NGA, Washington</w:t>
      </w:r>
    </w:p>
    <w:p w:rsidR="00432819" w:rsidRDefault="00432819" w:rsidP="001C1422">
      <w:pPr>
        <w:spacing w:line="360" w:lineRule="auto"/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Sofonisba</w:t>
      </w:r>
      <w:proofErr w:type="spellEnd"/>
      <w:r>
        <w:rPr>
          <w:rFonts w:cs="Times New Roman"/>
          <w:sz w:val="24"/>
          <w:szCs w:val="24"/>
        </w:rPr>
        <w:t xml:space="preserve"> Anguissola, Self-Portrait, Painting the Madonna, 1556, </w:t>
      </w:r>
      <w:proofErr w:type="spellStart"/>
      <w:r>
        <w:rPr>
          <w:rFonts w:cs="Times New Roman"/>
          <w:sz w:val="24"/>
          <w:szCs w:val="24"/>
        </w:rPr>
        <w:t>Lancut</w:t>
      </w:r>
      <w:proofErr w:type="spellEnd"/>
      <w:r>
        <w:rPr>
          <w:rFonts w:cs="Times New Roman"/>
          <w:sz w:val="24"/>
          <w:szCs w:val="24"/>
        </w:rPr>
        <w:t>, Poland.</w:t>
      </w:r>
    </w:p>
    <w:p w:rsidR="00B00D77" w:rsidRDefault="00B00D77" w:rsidP="001C1422">
      <w:pPr>
        <w:spacing w:line="360" w:lineRule="auto"/>
        <w:rPr>
          <w:rFonts w:cs="Times New Roman"/>
          <w:sz w:val="24"/>
          <w:szCs w:val="24"/>
        </w:rPr>
      </w:pPr>
      <w:bookmarkStart w:id="0" w:name="_GoBack"/>
      <w:bookmarkEnd w:id="0"/>
    </w:p>
    <w:p w:rsidR="00B00D77" w:rsidRPr="008B4168" w:rsidRDefault="00B00D77" w:rsidP="001C1422">
      <w:pPr>
        <w:spacing w:line="360" w:lineRule="auto"/>
        <w:rPr>
          <w:rFonts w:cs="Times New Roman"/>
          <w:sz w:val="24"/>
          <w:szCs w:val="24"/>
        </w:rPr>
      </w:pPr>
    </w:p>
    <w:sectPr w:rsidR="00B00D77" w:rsidRPr="008B4168" w:rsidSect="004328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 (Body CS)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168"/>
    <w:rsid w:val="000503C7"/>
    <w:rsid w:val="000D58A1"/>
    <w:rsid w:val="001C1422"/>
    <w:rsid w:val="00432819"/>
    <w:rsid w:val="008B4168"/>
    <w:rsid w:val="00906E42"/>
    <w:rsid w:val="00927514"/>
    <w:rsid w:val="00B00D77"/>
    <w:rsid w:val="00B61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3AA2A"/>
  <w15:chartTrackingRefBased/>
  <w15:docId w15:val="{C314CF6C-80DF-6543-9E8B-9C1B99A78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 (Body CS)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2019-01-29T02:09:00Z</dcterms:created>
  <dcterms:modified xsi:type="dcterms:W3CDTF">2019-01-29T02:09:00Z</dcterms:modified>
</cp:coreProperties>
</file>