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AC42" w14:textId="77777777" w:rsidR="004E756C" w:rsidRDefault="004E756C" w:rsidP="004E756C">
      <w:pPr>
        <w:widowControl/>
        <w:spacing w:line="360" w:lineRule="auto"/>
        <w:jc w:val="center"/>
        <w:rPr>
          <w:rFonts w:ascii="Times New Roman" w:hAnsi="Times New Roman"/>
          <w:b/>
          <w:snapToGrid/>
          <w:sz w:val="24"/>
          <w:szCs w:val="28"/>
        </w:rPr>
      </w:pPr>
      <w:bookmarkStart w:id="0" w:name="_GoBack"/>
      <w:bookmarkEnd w:id="0"/>
      <w:r w:rsidRPr="004E756C">
        <w:rPr>
          <w:rFonts w:ascii="Times New Roman" w:hAnsi="Times New Roman"/>
          <w:b/>
          <w:snapToGrid/>
          <w:sz w:val="24"/>
          <w:szCs w:val="28"/>
        </w:rPr>
        <w:t>Part 1: Martin Luther and German Art</w:t>
      </w:r>
    </w:p>
    <w:p w14:paraId="7DAC4EF1" w14:textId="77777777" w:rsidR="009C7A55" w:rsidRDefault="009C7A55" w:rsidP="004E756C">
      <w:pPr>
        <w:widowControl/>
        <w:spacing w:line="360" w:lineRule="auto"/>
        <w:rPr>
          <w:rFonts w:ascii="Times New Roman" w:hAnsi="Times New Roman"/>
          <w:b/>
          <w:snapToGrid/>
          <w:sz w:val="24"/>
          <w:szCs w:val="28"/>
        </w:rPr>
      </w:pPr>
    </w:p>
    <w:p w14:paraId="565D7420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>
        <w:rPr>
          <w:rFonts w:ascii="Times New Roman" w:hAnsi="Times New Roman"/>
          <w:b/>
          <w:snapToGrid/>
          <w:sz w:val="24"/>
          <w:szCs w:val="28"/>
        </w:rPr>
        <w:t xml:space="preserve">All Saints’ Church, Wittenberg, </w:t>
      </w:r>
      <w:r>
        <w:rPr>
          <w:rFonts w:ascii="Times New Roman" w:hAnsi="Times New Roman"/>
          <w:snapToGrid/>
          <w:sz w:val="24"/>
          <w:szCs w:val="28"/>
        </w:rPr>
        <w:t>with commemorative panels with Luther’s 95 theses</w:t>
      </w:r>
    </w:p>
    <w:p w14:paraId="5A3CE423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snapToGrid/>
          <w:sz w:val="24"/>
          <w:szCs w:val="28"/>
        </w:rPr>
        <w:t>Lucas Cranach the Elder</w:t>
      </w:r>
      <w:r w:rsidRPr="0059522A">
        <w:rPr>
          <w:rFonts w:ascii="Times New Roman" w:hAnsi="Times New Roman"/>
          <w:snapToGrid/>
          <w:sz w:val="24"/>
          <w:szCs w:val="28"/>
        </w:rPr>
        <w:t>, Portrait of Martin Luther, 1529, Kassel</w:t>
      </w:r>
    </w:p>
    <w:p w14:paraId="6D08FDDC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snapToGrid/>
          <w:sz w:val="24"/>
          <w:szCs w:val="28"/>
        </w:rPr>
        <w:t>Lucas Cranach the Elder</w:t>
      </w:r>
      <w:r w:rsidRPr="0059522A">
        <w:rPr>
          <w:rFonts w:ascii="Times New Roman" w:hAnsi="Times New Roman"/>
          <w:snapToGrid/>
          <w:sz w:val="24"/>
          <w:szCs w:val="28"/>
        </w:rPr>
        <w:t>, Passion of Christ and The Antichrist, 1521</w:t>
      </w:r>
    </w:p>
    <w:p w14:paraId="0CFFD763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snapToGrid/>
          <w:sz w:val="24"/>
          <w:szCs w:val="28"/>
        </w:rPr>
        <w:t>Albrecht Altdorfer,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The Virgin of Regensburg, 1519-20</w:t>
      </w:r>
    </w:p>
    <w:p w14:paraId="4DF6AB2F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snapToGrid/>
          <w:sz w:val="24"/>
          <w:szCs w:val="28"/>
        </w:rPr>
        <w:t>Michael Ostendorfer,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Pilgrimage to the Church of the Beautiful Virgin in Regensburg, 1520</w:t>
      </w:r>
    </w:p>
    <w:p w14:paraId="0B120916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>
        <w:rPr>
          <w:rFonts w:ascii="Times New Roman" w:hAnsi="Times New Roman"/>
          <w:snapToGrid/>
          <w:sz w:val="24"/>
          <w:szCs w:val="28"/>
        </w:rPr>
        <w:t>Anonymous woodcuts against Papal indulgencies, 1525</w:t>
      </w:r>
    </w:p>
    <w:p w14:paraId="4DF350C1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4E756C">
        <w:rPr>
          <w:rFonts w:ascii="Times New Roman" w:hAnsi="Times New Roman"/>
          <w:b/>
          <w:snapToGrid/>
          <w:sz w:val="24"/>
          <w:szCs w:val="28"/>
        </w:rPr>
        <w:t>Lucas Cranach the Elder</w:t>
      </w:r>
      <w:r>
        <w:rPr>
          <w:rFonts w:ascii="Times New Roman" w:hAnsi="Times New Roman"/>
          <w:snapToGrid/>
          <w:sz w:val="24"/>
          <w:szCs w:val="28"/>
        </w:rPr>
        <w:t>, Passionary of Christ and Antichrist, 1525</w:t>
      </w:r>
    </w:p>
    <w:p w14:paraId="0A6DEC0F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4E756C">
        <w:rPr>
          <w:rFonts w:ascii="Times New Roman" w:hAnsi="Times New Roman"/>
          <w:b/>
          <w:snapToGrid/>
          <w:sz w:val="24"/>
          <w:szCs w:val="28"/>
        </w:rPr>
        <w:t>Lucas Cranach the Elder</w:t>
      </w:r>
      <w:r>
        <w:rPr>
          <w:rFonts w:ascii="Times New Roman" w:hAnsi="Times New Roman"/>
          <w:snapToGrid/>
          <w:sz w:val="24"/>
          <w:szCs w:val="28"/>
        </w:rPr>
        <w:t>, The Law and the Gospel, 1529, Prague</w:t>
      </w:r>
    </w:p>
    <w:p w14:paraId="3605BD2A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9C7A55">
        <w:rPr>
          <w:rFonts w:ascii="Times New Roman" w:hAnsi="Times New Roman"/>
          <w:b/>
          <w:snapToGrid/>
          <w:sz w:val="24"/>
          <w:szCs w:val="28"/>
        </w:rPr>
        <w:t>Hans Brosamer</w:t>
      </w:r>
      <w:r>
        <w:rPr>
          <w:rFonts w:ascii="Times New Roman" w:hAnsi="Times New Roman"/>
          <w:snapToGrid/>
          <w:sz w:val="24"/>
          <w:szCs w:val="28"/>
        </w:rPr>
        <w:t>, Seven-headed martin Luther, 1529, engraving</w:t>
      </w:r>
    </w:p>
    <w:p w14:paraId="1536B333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Frans Hogenberg,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Destruction of Images in Antwerp, c. 1570</w:t>
      </w:r>
    </w:p>
    <w:p w14:paraId="6E85752E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snapToGrid/>
          <w:sz w:val="24"/>
          <w:szCs w:val="28"/>
        </w:rPr>
        <w:t>Cathedral of St. Martin</w:t>
      </w:r>
      <w:r w:rsidRPr="0059522A">
        <w:rPr>
          <w:rFonts w:ascii="Times New Roman" w:hAnsi="Times New Roman"/>
          <w:snapToGrid/>
          <w:sz w:val="24"/>
          <w:szCs w:val="28"/>
        </w:rPr>
        <w:t>, Utrecht, Sculpture at the portal, destroyed during the Reformation</w:t>
      </w:r>
    </w:p>
    <w:p w14:paraId="10ED54C2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4E756C">
        <w:rPr>
          <w:rFonts w:ascii="Times New Roman" w:hAnsi="Times New Roman"/>
          <w:b/>
          <w:snapToGrid/>
          <w:sz w:val="24"/>
          <w:szCs w:val="28"/>
        </w:rPr>
        <w:t>Marcus Gheerarerts</w:t>
      </w:r>
      <w:r>
        <w:rPr>
          <w:rFonts w:ascii="Times New Roman" w:hAnsi="Times New Roman"/>
          <w:snapToGrid/>
          <w:sz w:val="24"/>
          <w:szCs w:val="28"/>
        </w:rPr>
        <w:t xml:space="preserve"> (attributed) Satirical print on iconoclasm, c. 1560</w:t>
      </w:r>
    </w:p>
    <w:p w14:paraId="7BD95171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Lucas Cranach the Elder </w:t>
      </w:r>
      <w:r w:rsidRPr="0059522A">
        <w:rPr>
          <w:rFonts w:ascii="Times New Roman" w:hAnsi="Times New Roman"/>
          <w:snapToGrid/>
          <w:sz w:val="24"/>
          <w:szCs w:val="28"/>
        </w:rPr>
        <w:t>Head of Christ Crowned with Thorns c. 1510, private collection</w:t>
      </w:r>
    </w:p>
    <w:p w14:paraId="5B165A61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Lucas Cranach the Elder,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Virgin and Child 1525-30, canvas 87 x 59 cm, St. Petersburg </w:t>
      </w:r>
    </w:p>
    <w:p w14:paraId="03961EAC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Lucas Cranach the Elder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Allegory of Melancholy 1528 Panel, Edinburgh </w:t>
      </w:r>
    </w:p>
    <w:p w14:paraId="31236163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Self-Portrait in a Fur-Collared Robe 1500 panel, Munich </w:t>
      </w:r>
    </w:p>
    <w:p w14:paraId="355BCF95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4E756C">
        <w:rPr>
          <w:rFonts w:ascii="Times New Roman" w:hAnsi="Times New Roman"/>
          <w:b/>
          <w:snapToGrid/>
          <w:sz w:val="24"/>
          <w:szCs w:val="28"/>
        </w:rPr>
        <w:t>Jan van Eyck</w:t>
      </w:r>
      <w:r>
        <w:rPr>
          <w:rFonts w:ascii="Times New Roman" w:hAnsi="Times New Roman"/>
          <w:snapToGrid/>
          <w:sz w:val="24"/>
          <w:szCs w:val="28"/>
        </w:rPr>
        <w:t xml:space="preserve">, </w:t>
      </w:r>
      <w:r w:rsidR="009C7A55">
        <w:rPr>
          <w:rFonts w:ascii="Times New Roman" w:hAnsi="Times New Roman"/>
          <w:snapToGrid/>
          <w:sz w:val="24"/>
          <w:szCs w:val="28"/>
        </w:rPr>
        <w:t>copy after, Christ, 1440, Bruges</w:t>
      </w:r>
    </w:p>
    <w:p w14:paraId="1E375EF2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Albrecht Dürer,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 w:rsidRPr="004E756C">
        <w:rPr>
          <w:rFonts w:ascii="Times New Roman" w:hAnsi="Times New Roman"/>
          <w:bCs/>
          <w:snapToGrid/>
          <w:sz w:val="24"/>
          <w:szCs w:val="28"/>
        </w:rPr>
        <w:t>Adoration of the Magi, 1504, Uffizi</w:t>
      </w:r>
    </w:p>
    <w:p w14:paraId="4D423F42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Albrecht Dürer,</w:t>
      </w:r>
      <w:r>
        <w:rPr>
          <w:rFonts w:ascii="Times New Roman" w:hAnsi="Times New Roman"/>
          <w:bCs/>
          <w:snapToGrid/>
          <w:sz w:val="24"/>
          <w:szCs w:val="28"/>
        </w:rPr>
        <w:t xml:space="preserve"> Feast of the Rose Garlands, 1506, Prague</w:t>
      </w:r>
    </w:p>
    <w:p w14:paraId="01819C8C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>Self-Portrait as the Man of Sorrows 1522</w:t>
      </w:r>
      <w:r>
        <w:rPr>
          <w:rFonts w:ascii="Times New Roman" w:hAnsi="Times New Roman"/>
          <w:snapToGrid/>
          <w:sz w:val="24"/>
          <w:szCs w:val="28"/>
        </w:rPr>
        <w:t>,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pencil, Bremen </w:t>
      </w:r>
      <w:r>
        <w:rPr>
          <w:rFonts w:ascii="Times New Roman" w:hAnsi="Times New Roman"/>
          <w:snapToGrid/>
          <w:sz w:val="24"/>
          <w:szCs w:val="28"/>
        </w:rPr>
        <w:t>(destroyed)</w:t>
      </w:r>
    </w:p>
    <w:p w14:paraId="645F6AF8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Madonna of the Pear 1512 Oil on wood, Vienna </w:t>
      </w:r>
      <w:r w:rsidRPr="0059522A">
        <w:rPr>
          <w:rFonts w:ascii="Times New Roman" w:hAnsi="Times New Roman"/>
          <w:snapToGrid/>
          <w:sz w:val="24"/>
          <w:szCs w:val="28"/>
        </w:rPr>
        <w:br/>
      </w: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Christ Among the Doctors 1506 Oil on panel, Madrid </w:t>
      </w:r>
    </w:p>
    <w:p w14:paraId="3B978A35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The Four Holy Men 1526 lindenwood, Munich </w:t>
      </w:r>
    </w:p>
    <w:p w14:paraId="3F9DD797" w14:textId="77777777" w:rsidR="004E756C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Albrecht Dürer, </w:t>
      </w:r>
      <w:r w:rsidRPr="0059522A">
        <w:rPr>
          <w:rFonts w:ascii="Times New Roman" w:hAnsi="Times New Roman"/>
          <w:snapToGrid/>
          <w:sz w:val="24"/>
          <w:szCs w:val="28"/>
        </w:rPr>
        <w:t>Erasmus of Rotterdam, 1526, Engraving</w:t>
      </w:r>
    </w:p>
    <w:p w14:paraId="25648882" w14:textId="77777777" w:rsidR="009C7A55" w:rsidRPr="0059522A" w:rsidRDefault="009C7A55" w:rsidP="009C7A55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Hans Holbein the Younger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Erasmus 1523, </w:t>
      </w:r>
      <w:r>
        <w:rPr>
          <w:rFonts w:ascii="Times New Roman" w:hAnsi="Times New Roman"/>
          <w:snapToGrid/>
          <w:sz w:val="24"/>
          <w:szCs w:val="28"/>
        </w:rPr>
        <w:t>Basel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</w:t>
      </w:r>
    </w:p>
    <w:p w14:paraId="1CD5B61A" w14:textId="77777777" w:rsidR="009C7A55" w:rsidRDefault="009C7A55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Holbein the Younger </w:t>
      </w:r>
      <w:r w:rsidRPr="0059522A">
        <w:rPr>
          <w:rFonts w:ascii="Times New Roman" w:hAnsi="Times New Roman"/>
          <w:snapToGrid/>
          <w:sz w:val="24"/>
          <w:szCs w:val="28"/>
        </w:rPr>
        <w:t>Self-Portrait 1542-43, 23 x 18 cm, Florence</w:t>
      </w:r>
    </w:p>
    <w:p w14:paraId="4DB7B2E0" w14:textId="77777777" w:rsidR="009C7A55" w:rsidRPr="0059522A" w:rsidRDefault="009C7A55" w:rsidP="009C7A55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Hans Holbein the Younger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Erasmus 1523, </w:t>
      </w:r>
      <w:r>
        <w:rPr>
          <w:rFonts w:ascii="Times New Roman" w:hAnsi="Times New Roman"/>
          <w:snapToGrid/>
          <w:sz w:val="24"/>
          <w:szCs w:val="28"/>
        </w:rPr>
        <w:t>Paris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</w:t>
      </w:r>
    </w:p>
    <w:p w14:paraId="1B561464" w14:textId="77777777" w:rsidR="009C7A55" w:rsidRPr="0059522A" w:rsidRDefault="009C7A55" w:rsidP="009C7A55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Hans Holbein the Younger </w:t>
      </w:r>
      <w:r w:rsidRPr="0059522A">
        <w:rPr>
          <w:rFonts w:ascii="Times New Roman" w:hAnsi="Times New Roman"/>
          <w:snapToGrid/>
          <w:sz w:val="24"/>
          <w:szCs w:val="28"/>
        </w:rPr>
        <w:t>Sir Thomas More 1527 panel, 74,2 x 59 cm Frick Collection</w:t>
      </w:r>
    </w:p>
    <w:p w14:paraId="50591213" w14:textId="77777777" w:rsidR="009C7A55" w:rsidRPr="0059522A" w:rsidRDefault="009C7A55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>
        <w:rPr>
          <w:rFonts w:ascii="Times New Roman" w:hAnsi="Times New Roman"/>
          <w:snapToGrid/>
          <w:sz w:val="24"/>
          <w:szCs w:val="28"/>
        </w:rPr>
        <w:t>Illustration for Foxe’s Book of Martryrs, John Foxe, 1563</w:t>
      </w:r>
    </w:p>
    <w:p w14:paraId="04174344" w14:textId="77777777" w:rsidR="004E756C" w:rsidRPr="0059522A" w:rsidRDefault="004E756C" w:rsidP="004E756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Hans Holbein the Younger </w:t>
      </w:r>
      <w:r w:rsidRPr="0059522A">
        <w:rPr>
          <w:rFonts w:ascii="Times New Roman" w:hAnsi="Times New Roman"/>
          <w:snapToGrid/>
          <w:sz w:val="24"/>
          <w:szCs w:val="28"/>
        </w:rPr>
        <w:t>The Body of the Dead Christ in the Tomb, 1521, Basel.</w:t>
      </w:r>
    </w:p>
    <w:p w14:paraId="0B7C2B73" w14:textId="77777777" w:rsidR="00E435A0" w:rsidRPr="009C7A55" w:rsidRDefault="004E756C" w:rsidP="009C7A55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Hans Holbein the Younger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</w:t>
      </w:r>
      <w:r w:rsidR="009C7A55">
        <w:rPr>
          <w:rFonts w:ascii="Times New Roman" w:hAnsi="Times New Roman"/>
          <w:snapToGrid/>
          <w:sz w:val="24"/>
          <w:szCs w:val="28"/>
        </w:rPr>
        <w:t>The Ambassadors, 1533, London</w:t>
      </w:r>
    </w:p>
    <w:sectPr w:rsidR="00E435A0" w:rsidRPr="009C7A55" w:rsidSect="009C7A55">
      <w:head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463B1" w14:textId="77777777" w:rsidR="00E533CE" w:rsidRDefault="00E533CE" w:rsidP="004E756C">
      <w:r>
        <w:separator/>
      </w:r>
    </w:p>
  </w:endnote>
  <w:endnote w:type="continuationSeparator" w:id="0">
    <w:p w14:paraId="1AC47CBF" w14:textId="77777777" w:rsidR="00E533CE" w:rsidRDefault="00E533CE" w:rsidP="004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5087A" w14:textId="77777777" w:rsidR="00E533CE" w:rsidRDefault="00E533CE" w:rsidP="004E756C">
      <w:r>
        <w:separator/>
      </w:r>
    </w:p>
  </w:footnote>
  <w:footnote w:type="continuationSeparator" w:id="0">
    <w:p w14:paraId="46A7E31D" w14:textId="77777777" w:rsidR="00E533CE" w:rsidRDefault="00E533CE" w:rsidP="004E7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D6E" w14:textId="77777777" w:rsidR="004E756C" w:rsidRPr="004E756C" w:rsidRDefault="004E756C" w:rsidP="009C7A55">
    <w:pPr>
      <w:pStyle w:val="Header"/>
      <w:jc w:val="center"/>
    </w:pPr>
    <w:r w:rsidRPr="004E756C">
      <w:rPr>
        <w:rFonts w:ascii="Times New Roman" w:hAnsi="Times New Roman"/>
        <w:b/>
        <w:snapToGrid/>
        <w:sz w:val="24"/>
        <w:szCs w:val="28"/>
      </w:rPr>
      <w:t>The Impact of the Reformation - from Dürer to Vermeer</w:t>
    </w:r>
  </w:p>
  <w:p w14:paraId="2E08EE50" w14:textId="77777777" w:rsidR="004E756C" w:rsidRPr="004E756C" w:rsidRDefault="004E756C" w:rsidP="009C7A55">
    <w:pPr>
      <w:widowControl/>
      <w:spacing w:line="360" w:lineRule="auto"/>
      <w:jc w:val="center"/>
      <w:rPr>
        <w:rFonts w:ascii="Times New Roman" w:hAnsi="Times New Roman"/>
        <w:b/>
        <w:snapToGrid/>
        <w:sz w:val="24"/>
        <w:szCs w:val="28"/>
      </w:rPr>
    </w:pPr>
    <w:r w:rsidRPr="004E756C">
      <w:rPr>
        <w:rFonts w:ascii="Times New Roman" w:hAnsi="Times New Roman"/>
        <w:b/>
        <w:snapToGrid/>
        <w:sz w:val="24"/>
        <w:szCs w:val="28"/>
      </w:rPr>
      <w:t>Dr. Aneta Georgievska-Shine</w:t>
    </w:r>
    <w:r>
      <w:rPr>
        <w:rFonts w:ascii="Times New Roman" w:hAnsi="Times New Roman"/>
        <w:b/>
        <w:snapToGrid/>
        <w:sz w:val="24"/>
        <w:szCs w:val="28"/>
      </w:rPr>
      <w:t>, The Art Seminar Group, Winter 2018</w:t>
    </w:r>
  </w:p>
  <w:p w14:paraId="27AB3560" w14:textId="77777777" w:rsidR="004E756C" w:rsidRDefault="004E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C"/>
    <w:rsid w:val="004E756C"/>
    <w:rsid w:val="006209C7"/>
    <w:rsid w:val="006F5A0F"/>
    <w:rsid w:val="00893C53"/>
    <w:rsid w:val="009C7A55"/>
    <w:rsid w:val="00DD2A23"/>
    <w:rsid w:val="00E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0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56C"/>
    <w:pPr>
      <w:widowControl w:val="0"/>
    </w:pPr>
    <w:rPr>
      <w:rFonts w:ascii="Minion" w:eastAsia="Times New Roman" w:hAnsi="Minio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2</cp:revision>
  <dcterms:created xsi:type="dcterms:W3CDTF">2018-01-18T14:33:00Z</dcterms:created>
  <dcterms:modified xsi:type="dcterms:W3CDTF">2018-01-18T14:33:00Z</dcterms:modified>
</cp:coreProperties>
</file>