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80" w:rsidRDefault="004B3E4B" w:rsidP="00271980">
      <w:pPr>
        <w:shd w:val="clear" w:color="auto" w:fill="FFFFFF"/>
        <w:jc w:val="center"/>
        <w:rPr>
          <w:rFonts w:eastAsia="Times New Roman" w:cs="Times New Roman"/>
          <w:b/>
          <w:bCs/>
          <w:color w:val="0D0D0D"/>
          <w:sz w:val="24"/>
          <w:szCs w:val="24"/>
        </w:rPr>
      </w:pPr>
      <w:bookmarkStart w:id="0" w:name="_GoBack"/>
      <w:bookmarkEnd w:id="0"/>
      <w:r>
        <w:rPr>
          <w:rFonts w:eastAsia="Times New Roman" w:cs="Times New Roman"/>
          <w:b/>
          <w:bCs/>
          <w:color w:val="0D0D0D"/>
          <w:sz w:val="24"/>
          <w:szCs w:val="24"/>
        </w:rPr>
        <w:t>ANATOMY OF A MASTERPIECE</w:t>
      </w:r>
    </w:p>
    <w:p w:rsidR="004B3E4B" w:rsidRPr="004B3E4B" w:rsidRDefault="004B3E4B" w:rsidP="00271980">
      <w:pPr>
        <w:shd w:val="clear" w:color="auto" w:fill="FFFFFF"/>
        <w:jc w:val="center"/>
        <w:rPr>
          <w:rFonts w:eastAsia="Times New Roman" w:cs="Times New Roman"/>
          <w:b/>
          <w:color w:val="0D0D0D"/>
          <w:sz w:val="24"/>
          <w:szCs w:val="24"/>
        </w:rPr>
      </w:pPr>
      <w:r w:rsidRPr="004B3E4B">
        <w:rPr>
          <w:rFonts w:eastAsia="Times New Roman" w:cs="Times New Roman"/>
          <w:b/>
          <w:color w:val="0D0D0D"/>
          <w:sz w:val="24"/>
          <w:szCs w:val="24"/>
        </w:rPr>
        <w:t xml:space="preserve">Part </w:t>
      </w:r>
      <w:r w:rsidR="002777E7">
        <w:rPr>
          <w:rFonts w:eastAsia="Times New Roman" w:cs="Times New Roman"/>
          <w:b/>
          <w:color w:val="0D0D0D"/>
          <w:sz w:val="24"/>
          <w:szCs w:val="24"/>
        </w:rPr>
        <w:t>2</w:t>
      </w:r>
      <w:r w:rsidRPr="004B3E4B">
        <w:rPr>
          <w:rFonts w:eastAsia="Times New Roman" w:cs="Times New Roman"/>
          <w:b/>
          <w:color w:val="0D0D0D"/>
          <w:sz w:val="24"/>
          <w:szCs w:val="24"/>
        </w:rPr>
        <w:t xml:space="preserve">: </w:t>
      </w:r>
      <w:r w:rsidR="002777E7">
        <w:rPr>
          <w:rFonts w:eastAsia="Times New Roman" w:cs="Times New Roman"/>
          <w:b/>
          <w:color w:val="0D0D0D"/>
          <w:sz w:val="24"/>
          <w:szCs w:val="24"/>
        </w:rPr>
        <w:t>Tempesta</w:t>
      </w:r>
    </w:p>
    <w:p w:rsidR="004B3E4B" w:rsidRDefault="004B3E4B" w:rsidP="00271980">
      <w:pPr>
        <w:shd w:val="clear" w:color="auto" w:fill="FFFFFF"/>
        <w:jc w:val="center"/>
        <w:rPr>
          <w:rFonts w:eastAsia="Times New Roman" w:cs="Times New Roman"/>
          <w:b/>
          <w:bCs/>
          <w:color w:val="222222"/>
          <w:sz w:val="24"/>
          <w:szCs w:val="24"/>
        </w:rPr>
      </w:pPr>
    </w:p>
    <w:p w:rsidR="00271980" w:rsidRPr="004A42DA" w:rsidRDefault="00271980" w:rsidP="00271980">
      <w:pPr>
        <w:shd w:val="clear" w:color="auto" w:fill="FFFFFF"/>
        <w:jc w:val="center"/>
        <w:rPr>
          <w:rFonts w:eastAsia="Times New Roman" w:cs="Times New Roman"/>
          <w:b/>
          <w:bCs/>
          <w:color w:val="222222"/>
          <w:sz w:val="24"/>
          <w:szCs w:val="24"/>
        </w:rPr>
      </w:pPr>
      <w:r w:rsidRPr="004A42DA">
        <w:rPr>
          <w:rFonts w:eastAsia="Times New Roman" w:cs="Times New Roman"/>
          <w:b/>
          <w:bCs/>
          <w:color w:val="222222"/>
          <w:sz w:val="24"/>
          <w:szCs w:val="24"/>
        </w:rPr>
        <w:t xml:space="preserve">Aneta Georgievska-Shine, </w:t>
      </w:r>
      <w:r w:rsidR="004B3E4B">
        <w:rPr>
          <w:rFonts w:eastAsia="Times New Roman" w:cs="Times New Roman"/>
          <w:b/>
          <w:bCs/>
          <w:color w:val="222222"/>
          <w:sz w:val="24"/>
          <w:szCs w:val="24"/>
        </w:rPr>
        <w:t xml:space="preserve">February </w:t>
      </w:r>
      <w:r w:rsidR="002777E7">
        <w:rPr>
          <w:rFonts w:eastAsia="Times New Roman" w:cs="Times New Roman"/>
          <w:b/>
          <w:bCs/>
          <w:color w:val="222222"/>
          <w:sz w:val="24"/>
          <w:szCs w:val="24"/>
        </w:rPr>
        <w:t>11</w:t>
      </w:r>
      <w:r w:rsidR="004B3E4B">
        <w:rPr>
          <w:rFonts w:eastAsia="Times New Roman" w:cs="Times New Roman"/>
          <w:b/>
          <w:bCs/>
          <w:color w:val="222222"/>
          <w:sz w:val="24"/>
          <w:szCs w:val="24"/>
        </w:rPr>
        <w:t>, 2020</w:t>
      </w:r>
    </w:p>
    <w:p w:rsidR="00271980" w:rsidRPr="004A42DA" w:rsidRDefault="00271980" w:rsidP="00271980">
      <w:pPr>
        <w:shd w:val="clear" w:color="auto" w:fill="FFFFFF"/>
        <w:jc w:val="center"/>
        <w:rPr>
          <w:rFonts w:eastAsia="Times New Roman" w:cs="Times New Roman"/>
          <w:color w:val="222222"/>
          <w:sz w:val="24"/>
          <w:szCs w:val="24"/>
        </w:rPr>
      </w:pPr>
    </w:p>
    <w:p w:rsidR="00A52B7C" w:rsidRDefault="00A52B7C" w:rsidP="00A52B7C">
      <w:pPr>
        <w:spacing w:line="360" w:lineRule="auto"/>
        <w:rPr>
          <w:rFonts w:eastAsia="Times New Roman" w:cs="Times New Roman"/>
          <w:color w:val="222222"/>
          <w:sz w:val="24"/>
          <w:szCs w:val="24"/>
        </w:rPr>
      </w:pPr>
    </w:p>
    <w:p w:rsidR="00715749" w:rsidRPr="00A52B7C" w:rsidRDefault="002777E7" w:rsidP="00A52B7C">
      <w:pPr>
        <w:spacing w:line="360" w:lineRule="auto"/>
        <w:ind w:firstLine="720"/>
        <w:rPr>
          <w:rFonts w:eastAsia="Times New Roman" w:cs="Times New Roman"/>
          <w:color w:val="222222"/>
          <w:sz w:val="24"/>
          <w:szCs w:val="24"/>
        </w:rPr>
      </w:pPr>
      <w:r w:rsidRPr="00A52B7C">
        <w:rPr>
          <w:rFonts w:eastAsia="Times New Roman" w:cs="Times New Roman"/>
          <w:color w:val="222222"/>
          <w:sz w:val="24"/>
          <w:szCs w:val="24"/>
        </w:rPr>
        <w:t>Giorgione, The Tempest, ca. 1508, 83 x 73 cm. Venice, The Accademia</w:t>
      </w:r>
    </w:p>
    <w:p w:rsidR="002777E7" w:rsidRPr="00A52B7C" w:rsidRDefault="002777E7" w:rsidP="00A52B7C">
      <w:pPr>
        <w:spacing w:line="360" w:lineRule="auto"/>
        <w:ind w:firstLine="720"/>
        <w:rPr>
          <w:sz w:val="24"/>
          <w:szCs w:val="24"/>
        </w:rPr>
      </w:pPr>
      <w:r w:rsidRPr="00A52B7C">
        <w:rPr>
          <w:sz w:val="24"/>
          <w:szCs w:val="24"/>
        </w:rPr>
        <w:t>Self-Portrait as David, ca. 1510, 52 x 43 cm. Braunschweig</w:t>
      </w:r>
    </w:p>
    <w:p w:rsidR="002777E7" w:rsidRPr="00A52B7C" w:rsidRDefault="002777E7" w:rsidP="00A52B7C">
      <w:pPr>
        <w:spacing w:line="360" w:lineRule="auto"/>
        <w:ind w:firstLine="720"/>
        <w:rPr>
          <w:sz w:val="24"/>
          <w:szCs w:val="24"/>
        </w:rPr>
      </w:pPr>
      <w:r w:rsidRPr="00A52B7C">
        <w:rPr>
          <w:sz w:val="24"/>
          <w:szCs w:val="24"/>
        </w:rPr>
        <w:t>Wenzeslaus Hollar, Engraving after Giorgione’s Self-Portrait as David, ca. 1650</w:t>
      </w:r>
    </w:p>
    <w:p w:rsidR="002777E7" w:rsidRPr="00A52B7C" w:rsidRDefault="002777E7" w:rsidP="00A52B7C">
      <w:pPr>
        <w:spacing w:line="360" w:lineRule="auto"/>
        <w:ind w:firstLine="720"/>
        <w:rPr>
          <w:sz w:val="24"/>
          <w:szCs w:val="24"/>
        </w:rPr>
      </w:pPr>
      <w:r w:rsidRPr="00A52B7C">
        <w:rPr>
          <w:sz w:val="24"/>
          <w:szCs w:val="24"/>
        </w:rPr>
        <w:t>Giorgione or Titian (or Cariani?), Portrait of a Man, ca. 1510, NGA</w:t>
      </w:r>
    </w:p>
    <w:p w:rsidR="00A52B7C" w:rsidRDefault="002777E7" w:rsidP="00A52B7C">
      <w:pPr>
        <w:spacing w:line="360" w:lineRule="auto"/>
        <w:ind w:firstLine="720"/>
        <w:rPr>
          <w:sz w:val="24"/>
          <w:szCs w:val="24"/>
        </w:rPr>
      </w:pPr>
      <w:r w:rsidRPr="00A52B7C">
        <w:rPr>
          <w:sz w:val="24"/>
          <w:szCs w:val="24"/>
        </w:rPr>
        <w:t>Giorgione, Laura(?), ca. 1506, Kunsthistorisches, Vienna</w:t>
      </w:r>
    </w:p>
    <w:p w:rsidR="00A52B7C" w:rsidRDefault="002777E7" w:rsidP="00A52B7C">
      <w:pPr>
        <w:spacing w:line="360" w:lineRule="auto"/>
        <w:ind w:left="720"/>
        <w:rPr>
          <w:sz w:val="24"/>
          <w:szCs w:val="24"/>
        </w:rPr>
      </w:pPr>
      <w:r w:rsidRPr="00A52B7C">
        <w:rPr>
          <w:sz w:val="24"/>
          <w:szCs w:val="24"/>
        </w:rPr>
        <w:t>Sleeping Venus, ca. 1510, Gemäldegalerie, Dresden</w:t>
      </w:r>
    </w:p>
    <w:p w:rsidR="002777E7" w:rsidRPr="00A52B7C" w:rsidRDefault="002777E7" w:rsidP="00A52B7C">
      <w:pPr>
        <w:spacing w:line="360" w:lineRule="auto"/>
        <w:ind w:left="720"/>
        <w:rPr>
          <w:sz w:val="24"/>
          <w:szCs w:val="24"/>
        </w:rPr>
      </w:pPr>
      <w:r w:rsidRPr="00A52B7C">
        <w:rPr>
          <w:sz w:val="24"/>
          <w:szCs w:val="24"/>
        </w:rPr>
        <w:t>Giulio Campagnola, Venus reclining in a Landscape, ca. 1508, engr.</w:t>
      </w:r>
    </w:p>
    <w:p w:rsidR="002777E7" w:rsidRPr="00A52B7C" w:rsidRDefault="002777E7" w:rsidP="00A52B7C">
      <w:pPr>
        <w:spacing w:line="360" w:lineRule="auto"/>
        <w:ind w:firstLine="720"/>
        <w:rPr>
          <w:sz w:val="24"/>
          <w:szCs w:val="24"/>
        </w:rPr>
      </w:pPr>
      <w:r w:rsidRPr="00A52B7C">
        <w:rPr>
          <w:sz w:val="24"/>
          <w:szCs w:val="24"/>
        </w:rPr>
        <w:t>Giorgione or Titian (or both), Pastoral Concert, ca. 1508-9, Louvre</w:t>
      </w:r>
    </w:p>
    <w:p w:rsidR="002777E7" w:rsidRPr="00A52B7C" w:rsidRDefault="002777E7" w:rsidP="00A52B7C">
      <w:pPr>
        <w:spacing w:line="360" w:lineRule="auto"/>
        <w:ind w:firstLine="720"/>
        <w:rPr>
          <w:sz w:val="24"/>
          <w:szCs w:val="24"/>
        </w:rPr>
      </w:pPr>
      <w:r w:rsidRPr="00A52B7C">
        <w:rPr>
          <w:sz w:val="24"/>
          <w:szCs w:val="24"/>
        </w:rPr>
        <w:t>Titian, Arcadian Musicians in a Landscape, ca. 1515, drawing</w:t>
      </w:r>
    </w:p>
    <w:p w:rsidR="002777E7" w:rsidRPr="00A52B7C" w:rsidRDefault="002777E7" w:rsidP="00A52B7C">
      <w:pPr>
        <w:spacing w:line="360" w:lineRule="auto"/>
        <w:ind w:firstLine="720"/>
        <w:rPr>
          <w:sz w:val="24"/>
          <w:szCs w:val="24"/>
        </w:rPr>
      </w:pPr>
      <w:r w:rsidRPr="00A52B7C">
        <w:rPr>
          <w:sz w:val="24"/>
          <w:szCs w:val="24"/>
        </w:rPr>
        <w:t>Landscape with a Sleeping Nude, mid. 1560’s, drawing, The Getty</w:t>
      </w:r>
    </w:p>
    <w:p w:rsidR="002777E7" w:rsidRPr="00A52B7C" w:rsidRDefault="002777E7" w:rsidP="00A52B7C">
      <w:pPr>
        <w:spacing w:line="360" w:lineRule="auto"/>
        <w:ind w:firstLine="720"/>
        <w:rPr>
          <w:sz w:val="24"/>
          <w:szCs w:val="24"/>
        </w:rPr>
      </w:pPr>
      <w:r w:rsidRPr="00A52B7C">
        <w:rPr>
          <w:sz w:val="24"/>
          <w:szCs w:val="24"/>
        </w:rPr>
        <w:t>Jacopo de Barbari, Holy Family with Elizabeth and St. John, ca. 1515</w:t>
      </w:r>
    </w:p>
    <w:p w:rsidR="002777E7" w:rsidRPr="00A52B7C" w:rsidRDefault="002777E7" w:rsidP="00A52B7C">
      <w:pPr>
        <w:spacing w:line="360" w:lineRule="auto"/>
        <w:ind w:firstLine="720"/>
        <w:rPr>
          <w:sz w:val="24"/>
          <w:szCs w:val="24"/>
        </w:rPr>
      </w:pPr>
      <w:r w:rsidRPr="00A52B7C">
        <w:rPr>
          <w:sz w:val="24"/>
          <w:szCs w:val="24"/>
        </w:rPr>
        <w:t>Domenico Campagnola, Landscape with and Old Wo</w:t>
      </w:r>
      <w:r w:rsidR="00831BEB" w:rsidRPr="00A52B7C">
        <w:rPr>
          <w:sz w:val="24"/>
          <w:szCs w:val="24"/>
        </w:rPr>
        <w:t>man handling a Spindle, 1500-1564</w:t>
      </w:r>
    </w:p>
    <w:p w:rsidR="00831BEB" w:rsidRPr="00A52B7C" w:rsidRDefault="00831BEB" w:rsidP="00A52B7C">
      <w:pPr>
        <w:spacing w:line="360" w:lineRule="auto"/>
        <w:ind w:firstLine="720"/>
        <w:rPr>
          <w:sz w:val="24"/>
          <w:szCs w:val="24"/>
        </w:rPr>
      </w:pPr>
      <w:r w:rsidRPr="00A52B7C">
        <w:rPr>
          <w:sz w:val="24"/>
          <w:szCs w:val="24"/>
        </w:rPr>
        <w:t>Domenico Campagnola, Landscape with a Boy Fishing, ca. 1520, drawing</w:t>
      </w:r>
    </w:p>
    <w:p w:rsidR="00831BEB" w:rsidRPr="00A52B7C" w:rsidRDefault="00320728" w:rsidP="00A52B7C">
      <w:pPr>
        <w:spacing w:line="360" w:lineRule="auto"/>
        <w:ind w:firstLine="720"/>
        <w:rPr>
          <w:sz w:val="24"/>
          <w:szCs w:val="24"/>
        </w:rPr>
      </w:pPr>
      <w:r w:rsidRPr="00A52B7C">
        <w:rPr>
          <w:sz w:val="24"/>
          <w:szCs w:val="24"/>
        </w:rPr>
        <w:t>Domenico Campagnola, Landscape with Ruins, Budapest</w:t>
      </w:r>
    </w:p>
    <w:p w:rsidR="00320728" w:rsidRPr="00A52B7C" w:rsidRDefault="00320728" w:rsidP="00A52B7C">
      <w:pPr>
        <w:spacing w:line="360" w:lineRule="auto"/>
        <w:ind w:firstLine="720"/>
        <w:rPr>
          <w:sz w:val="24"/>
          <w:szCs w:val="24"/>
        </w:rPr>
      </w:pPr>
      <w:r w:rsidRPr="00A52B7C">
        <w:rPr>
          <w:sz w:val="24"/>
          <w:szCs w:val="24"/>
        </w:rPr>
        <w:t>Titian, Portrait of Jacopo Sannazaro, ca. 1514-18</w:t>
      </w:r>
    </w:p>
    <w:p w:rsidR="00320728" w:rsidRPr="00A52B7C" w:rsidRDefault="00320728" w:rsidP="00A52B7C">
      <w:pPr>
        <w:spacing w:line="360" w:lineRule="auto"/>
        <w:ind w:firstLine="720"/>
        <w:rPr>
          <w:sz w:val="24"/>
          <w:szCs w:val="24"/>
        </w:rPr>
      </w:pPr>
      <w:r w:rsidRPr="00A52B7C">
        <w:rPr>
          <w:sz w:val="24"/>
          <w:szCs w:val="24"/>
        </w:rPr>
        <w:t>Titian, Portrait of Pietro Bembo, ca. 1545, NGA</w:t>
      </w:r>
    </w:p>
    <w:p w:rsidR="00320728" w:rsidRPr="00A52B7C" w:rsidRDefault="00320728" w:rsidP="00A52B7C">
      <w:pPr>
        <w:spacing w:line="360" w:lineRule="auto"/>
        <w:ind w:firstLine="720"/>
        <w:rPr>
          <w:sz w:val="24"/>
          <w:szCs w:val="24"/>
        </w:rPr>
      </w:pPr>
      <w:r w:rsidRPr="00A52B7C">
        <w:rPr>
          <w:sz w:val="24"/>
          <w:szCs w:val="24"/>
        </w:rPr>
        <w:t>Giulio Campagnola, Young Shepherd, ca. 1510-12</w:t>
      </w:r>
    </w:p>
    <w:p w:rsidR="00A52B7C" w:rsidRDefault="00320728" w:rsidP="00A52B7C">
      <w:pPr>
        <w:spacing w:line="360" w:lineRule="auto"/>
        <w:ind w:firstLine="720"/>
        <w:rPr>
          <w:sz w:val="24"/>
          <w:szCs w:val="24"/>
        </w:rPr>
      </w:pPr>
      <w:r w:rsidRPr="00A52B7C">
        <w:rPr>
          <w:sz w:val="24"/>
          <w:szCs w:val="24"/>
        </w:rPr>
        <w:t>Giulio and Domenico Campagnola, Shepherds with Music Instruments, ca. 1517</w:t>
      </w:r>
    </w:p>
    <w:p w:rsidR="00A52B7C" w:rsidRDefault="00320728" w:rsidP="00A52B7C">
      <w:pPr>
        <w:spacing w:line="360" w:lineRule="auto"/>
        <w:ind w:firstLine="720"/>
        <w:rPr>
          <w:sz w:val="24"/>
          <w:szCs w:val="24"/>
        </w:rPr>
      </w:pPr>
      <w:r w:rsidRPr="00A52B7C">
        <w:rPr>
          <w:sz w:val="24"/>
          <w:szCs w:val="24"/>
        </w:rPr>
        <w:t>Giulio Campagnola or Giorgione, Landscape with Two Men with a Coppice, ca. 1510</w:t>
      </w:r>
    </w:p>
    <w:p w:rsidR="00320728" w:rsidRPr="00A52B7C" w:rsidRDefault="00320728" w:rsidP="00A52B7C">
      <w:pPr>
        <w:spacing w:line="360" w:lineRule="auto"/>
        <w:ind w:firstLine="720"/>
        <w:rPr>
          <w:sz w:val="24"/>
          <w:szCs w:val="24"/>
        </w:rPr>
      </w:pPr>
      <w:r w:rsidRPr="00A52B7C">
        <w:rPr>
          <w:sz w:val="24"/>
          <w:szCs w:val="24"/>
        </w:rPr>
        <w:t xml:space="preserve">Giorgione or Titian, Shepherd Boy with a Pipe, ca. 1510-15, Royal </w:t>
      </w:r>
      <w:r w:rsidR="00A52B7C" w:rsidRPr="00A52B7C">
        <w:rPr>
          <w:sz w:val="24"/>
          <w:szCs w:val="24"/>
        </w:rPr>
        <w:t>Collection</w:t>
      </w:r>
    </w:p>
    <w:p w:rsidR="00A52B7C" w:rsidRDefault="00A52B7C" w:rsidP="00A52B7C">
      <w:pPr>
        <w:rPr>
          <w:rFonts w:eastAsia="Times New Roman" w:cs="Times New Roman"/>
          <w:sz w:val="24"/>
          <w:szCs w:val="24"/>
        </w:rPr>
      </w:pPr>
    </w:p>
    <w:p w:rsidR="00A52B7C" w:rsidRDefault="00A52B7C" w:rsidP="00A52B7C">
      <w:pPr>
        <w:rPr>
          <w:rFonts w:eastAsia="Times New Roman" w:cs="Times New Roman"/>
          <w:sz w:val="24"/>
          <w:szCs w:val="24"/>
        </w:rPr>
      </w:pPr>
      <w:r w:rsidRPr="00A52B7C">
        <w:rPr>
          <w:rFonts w:eastAsia="Times New Roman" w:cs="Times New Roman"/>
          <w:i/>
          <w:sz w:val="24"/>
          <w:szCs w:val="24"/>
        </w:rPr>
        <w:t>And nature gave him such a gracious spirit that, in either oil or fresco, he created living forms and other images so soft, so harmonious, and so carefully shaded off in to the shadows that many of the most skillful artists of those times agreed he had been born to infuse life into his figures and to reproduce the freshness of living flesh more than any other artist who had ever painted, not only in Venice but anywhere</w:t>
      </w:r>
      <w:r>
        <w:rPr>
          <w:rFonts w:eastAsia="Times New Roman" w:cs="Times New Roman"/>
          <w:sz w:val="24"/>
          <w:szCs w:val="24"/>
        </w:rPr>
        <w:t xml:space="preserve">                                         (Giorgio Vasari, Life of Giorgione) </w:t>
      </w:r>
    </w:p>
    <w:p w:rsidR="00A52B7C" w:rsidRDefault="00A52B7C" w:rsidP="00A52B7C">
      <w:pPr>
        <w:rPr>
          <w:rFonts w:eastAsia="Times New Roman" w:cs="Times New Roman"/>
          <w:sz w:val="24"/>
          <w:szCs w:val="24"/>
        </w:rPr>
      </w:pPr>
    </w:p>
    <w:p w:rsidR="00A52B7C" w:rsidRDefault="00CD7522" w:rsidP="00A52B7C">
      <w:hyperlink r:id="rId4" w:history="1">
        <w:r w:rsidR="00A52B7C">
          <w:rPr>
            <w:rStyle w:val="Hyperlink"/>
          </w:rPr>
          <w:t>https://britishinstitutehoa.files.wordpress.com/2014/05/vasari-the-life-of-giorgione.pdf</w:t>
        </w:r>
      </w:hyperlink>
    </w:p>
    <w:p w:rsidR="00A52B7C" w:rsidRPr="00A52B7C" w:rsidRDefault="00A52B7C" w:rsidP="00A52B7C">
      <w:pPr>
        <w:rPr>
          <w:rFonts w:eastAsia="Times New Roman" w:cs="Times New Roman"/>
          <w:sz w:val="24"/>
          <w:szCs w:val="24"/>
        </w:rPr>
      </w:pPr>
    </w:p>
    <w:p w:rsidR="00A52B7C" w:rsidRPr="00A52B7C" w:rsidRDefault="00A52B7C" w:rsidP="00A52B7C">
      <w:pPr>
        <w:shd w:val="clear" w:color="auto" w:fill="FFFFFF" w:themeFill="background1"/>
        <w:rPr>
          <w:rFonts w:eastAsia="Times New Roman" w:cs="Times New Roman"/>
          <w:color w:val="222222"/>
          <w:sz w:val="24"/>
          <w:szCs w:val="24"/>
        </w:rPr>
      </w:pPr>
      <w:r w:rsidRPr="00A52B7C">
        <w:rPr>
          <w:rFonts w:eastAsia="Times New Roman" w:cs="Times New Roman"/>
          <w:color w:val="222222"/>
          <w:sz w:val="24"/>
          <w:szCs w:val="24"/>
        </w:rPr>
        <w:t xml:space="preserve"> </w:t>
      </w:r>
    </w:p>
    <w:sectPr w:rsidR="00A52B7C" w:rsidRPr="00A52B7C" w:rsidSect="0005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80"/>
    <w:rsid w:val="000503C7"/>
    <w:rsid w:val="000D58A1"/>
    <w:rsid w:val="00271980"/>
    <w:rsid w:val="002777E7"/>
    <w:rsid w:val="00320728"/>
    <w:rsid w:val="004A42DA"/>
    <w:rsid w:val="004B3E4B"/>
    <w:rsid w:val="00715749"/>
    <w:rsid w:val="00831BEB"/>
    <w:rsid w:val="0083791F"/>
    <w:rsid w:val="00906E42"/>
    <w:rsid w:val="009D627F"/>
    <w:rsid w:val="00A52B7C"/>
    <w:rsid w:val="00CD7522"/>
    <w:rsid w:val="00F6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70238-07AC-8640-BE5E-07CE6C4B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2DA"/>
    <w:rPr>
      <w:color w:val="0563C1" w:themeColor="hyperlink"/>
      <w:u w:val="single"/>
    </w:rPr>
  </w:style>
  <w:style w:type="character" w:styleId="UnresolvedMention">
    <w:name w:val="Unresolved Mention"/>
    <w:basedOn w:val="DefaultParagraphFont"/>
    <w:uiPriority w:val="99"/>
    <w:semiHidden/>
    <w:unhideWhenUsed/>
    <w:rsid w:val="004A42DA"/>
    <w:rPr>
      <w:color w:val="605E5C"/>
      <w:shd w:val="clear" w:color="auto" w:fill="E1DFDD"/>
    </w:rPr>
  </w:style>
  <w:style w:type="character" w:styleId="FollowedHyperlink">
    <w:name w:val="FollowedHyperlink"/>
    <w:basedOn w:val="DefaultParagraphFont"/>
    <w:uiPriority w:val="99"/>
    <w:semiHidden/>
    <w:unhideWhenUsed/>
    <w:rsid w:val="004A42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32061">
      <w:bodyDiv w:val="1"/>
      <w:marLeft w:val="0"/>
      <w:marRight w:val="0"/>
      <w:marTop w:val="0"/>
      <w:marBottom w:val="0"/>
      <w:divBdr>
        <w:top w:val="none" w:sz="0" w:space="0" w:color="auto"/>
        <w:left w:val="none" w:sz="0" w:space="0" w:color="auto"/>
        <w:bottom w:val="none" w:sz="0" w:space="0" w:color="auto"/>
        <w:right w:val="none" w:sz="0" w:space="0" w:color="auto"/>
      </w:divBdr>
    </w:div>
    <w:div w:id="1451630926">
      <w:bodyDiv w:val="1"/>
      <w:marLeft w:val="0"/>
      <w:marRight w:val="0"/>
      <w:marTop w:val="0"/>
      <w:marBottom w:val="0"/>
      <w:divBdr>
        <w:top w:val="none" w:sz="0" w:space="0" w:color="auto"/>
        <w:left w:val="none" w:sz="0" w:space="0" w:color="auto"/>
        <w:bottom w:val="none" w:sz="0" w:space="0" w:color="auto"/>
        <w:right w:val="none" w:sz="0" w:space="0" w:color="auto"/>
      </w:divBdr>
    </w:div>
    <w:div w:id="1479808470">
      <w:bodyDiv w:val="1"/>
      <w:marLeft w:val="0"/>
      <w:marRight w:val="0"/>
      <w:marTop w:val="0"/>
      <w:marBottom w:val="0"/>
      <w:divBdr>
        <w:top w:val="none" w:sz="0" w:space="0" w:color="auto"/>
        <w:left w:val="none" w:sz="0" w:space="0" w:color="auto"/>
        <w:bottom w:val="none" w:sz="0" w:space="0" w:color="auto"/>
        <w:right w:val="none" w:sz="0" w:space="0" w:color="auto"/>
      </w:divBdr>
    </w:div>
    <w:div w:id="1497459713">
      <w:bodyDiv w:val="1"/>
      <w:marLeft w:val="0"/>
      <w:marRight w:val="0"/>
      <w:marTop w:val="0"/>
      <w:marBottom w:val="0"/>
      <w:divBdr>
        <w:top w:val="none" w:sz="0" w:space="0" w:color="auto"/>
        <w:left w:val="none" w:sz="0" w:space="0" w:color="auto"/>
        <w:bottom w:val="none" w:sz="0" w:space="0" w:color="auto"/>
        <w:right w:val="none" w:sz="0" w:space="0" w:color="auto"/>
      </w:divBdr>
    </w:div>
    <w:div w:id="1577402325">
      <w:bodyDiv w:val="1"/>
      <w:marLeft w:val="0"/>
      <w:marRight w:val="0"/>
      <w:marTop w:val="0"/>
      <w:marBottom w:val="0"/>
      <w:divBdr>
        <w:top w:val="none" w:sz="0" w:space="0" w:color="auto"/>
        <w:left w:val="none" w:sz="0" w:space="0" w:color="auto"/>
        <w:bottom w:val="none" w:sz="0" w:space="0" w:color="auto"/>
        <w:right w:val="none" w:sz="0" w:space="0" w:color="auto"/>
      </w:divBdr>
    </w:div>
    <w:div w:id="1627811542">
      <w:bodyDiv w:val="1"/>
      <w:marLeft w:val="0"/>
      <w:marRight w:val="0"/>
      <w:marTop w:val="0"/>
      <w:marBottom w:val="0"/>
      <w:divBdr>
        <w:top w:val="none" w:sz="0" w:space="0" w:color="auto"/>
        <w:left w:val="none" w:sz="0" w:space="0" w:color="auto"/>
        <w:bottom w:val="none" w:sz="0" w:space="0" w:color="auto"/>
        <w:right w:val="none" w:sz="0" w:space="0" w:color="auto"/>
      </w:divBdr>
    </w:div>
    <w:div w:id="16738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itishinstitutehoa.files.wordpress.com/2014/05/vasari-the-life-of-giorgi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Dillin</cp:lastModifiedBy>
  <cp:revision>2</cp:revision>
  <dcterms:created xsi:type="dcterms:W3CDTF">2020-02-10T15:43:00Z</dcterms:created>
  <dcterms:modified xsi:type="dcterms:W3CDTF">2020-02-10T15:43:00Z</dcterms:modified>
</cp:coreProperties>
</file>